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附件1：报名表</w:t>
      </w:r>
    </w:p>
    <w:p>
      <w:pPr>
        <w:pStyle w:val="6"/>
        <w:jc w:val="center"/>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t>报名表</w:t>
      </w:r>
    </w:p>
    <w:p>
      <w:pPr>
        <w:pStyle w:val="6"/>
        <w:jc w:val="both"/>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pPr>
    </w:p>
    <w:p>
      <w:pPr>
        <w:pStyle w:val="6"/>
        <w:jc w:val="left"/>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 xml:space="preserve">项目编号：SEK20240011   </w:t>
      </w:r>
    </w:p>
    <w:p>
      <w:pPr>
        <w:pStyle w:val="6"/>
        <w:jc w:val="left"/>
        <w:rPr>
          <w:rFonts w:hint="default" w:ascii="仿宋" w:hAnsi="仿宋" w:eastAsia="仿宋" w:cs="仿宋"/>
          <w:b/>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vertAlign w:val="baseline"/>
          <w:lang w:val="en-US" w:eastAsia="zh-CN"/>
          <w14:textFill>
            <w14:solidFill>
              <w14:schemeClr w14:val="tx1"/>
            </w14:solidFill>
          </w14:textFill>
        </w:rPr>
        <w:t>项目名称：山东省第二康复医院住院楼中央空调维保单位采购</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29" w:type="dxa"/>
            <w:vAlign w:val="center"/>
          </w:tcPr>
          <w:p>
            <w:pPr>
              <w:pStyle w:val="6"/>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单位名称</w:t>
            </w:r>
          </w:p>
        </w:tc>
        <w:tc>
          <w:tcPr>
            <w:tcW w:w="6390"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29" w:type="dxa"/>
            <w:vAlign w:val="center"/>
          </w:tcPr>
          <w:p>
            <w:pPr>
              <w:pStyle w:val="6"/>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联系人</w:t>
            </w:r>
          </w:p>
        </w:tc>
        <w:tc>
          <w:tcPr>
            <w:tcW w:w="6390"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6"/>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联系方式</w:t>
            </w:r>
          </w:p>
        </w:tc>
        <w:tc>
          <w:tcPr>
            <w:tcW w:w="6390"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6"/>
              <w:jc w:val="center"/>
              <w:rPr>
                <w:rFonts w:hint="default" w:ascii="仿宋" w:hAnsi="仿宋" w:eastAsia="仿宋" w:cs="仿宋"/>
                <w:b/>
                <w:bCs/>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邮箱</w:t>
            </w:r>
          </w:p>
        </w:tc>
        <w:tc>
          <w:tcPr>
            <w:tcW w:w="6390"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29"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vertAlign w:val="baseline"/>
                <w:lang w:val="en-US" w:eastAsia="zh-CN"/>
                <w14:textFill>
                  <w14:solidFill>
                    <w14:schemeClr w14:val="tx1"/>
                  </w14:solidFill>
                </w14:textFill>
              </w:rPr>
              <w:t>地址</w:t>
            </w:r>
          </w:p>
        </w:tc>
        <w:tc>
          <w:tcPr>
            <w:tcW w:w="6390" w:type="dxa"/>
            <w:vAlign w:val="center"/>
          </w:tcPr>
          <w:p>
            <w:pPr>
              <w:pStyle w:val="6"/>
              <w:jc w:val="center"/>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tc>
      </w:tr>
    </w:tbl>
    <w:p>
      <w:pPr>
        <w:pStyle w:val="6"/>
        <w:jc w:val="center"/>
        <w:rPr>
          <w:rFonts w:hint="default" w:ascii="仿宋" w:hAnsi="仿宋" w:eastAsia="仿宋" w:cs="仿宋"/>
          <w:b/>
          <w:bCs/>
          <w:color w:val="000000" w:themeColor="text1"/>
          <w:sz w:val="36"/>
          <w:szCs w:val="36"/>
          <w:highlight w:val="none"/>
          <w:vertAlign w:val="baseline"/>
          <w:lang w:val="en-US" w:eastAsia="zh-CN"/>
          <w14:textFill>
            <w14:solidFill>
              <w14:schemeClr w14:val="tx1"/>
            </w14:solidFill>
          </w14:textFill>
        </w:rPr>
      </w:pPr>
    </w:p>
    <w:p>
      <w:pPr>
        <w:pStyle w:val="6"/>
        <w:jc w:val="center"/>
        <w:rPr>
          <w:rFonts w:hint="default" w:ascii="仿宋" w:hAnsi="仿宋" w:eastAsia="仿宋" w:cs="仿宋"/>
          <w:b/>
          <w:bCs/>
          <w:color w:val="000000" w:themeColor="text1"/>
          <w:sz w:val="36"/>
          <w:szCs w:val="36"/>
          <w:highlight w:val="none"/>
          <w:vertAlign w:val="baseline"/>
          <w:lang w:val="en-US" w:eastAsia="zh-CN"/>
          <w14:textFill>
            <w14:solidFill>
              <w14:schemeClr w14:val="tx1"/>
            </w14:solidFill>
          </w14:textFill>
        </w:rPr>
      </w:pPr>
    </w:p>
    <w:p>
      <w:pPr>
        <w:pStyle w:val="6"/>
        <w:jc w:val="center"/>
        <w:rPr>
          <w:rFonts w:hint="default" w:ascii="仿宋" w:hAnsi="仿宋" w:eastAsia="仿宋" w:cs="仿宋"/>
          <w:b/>
          <w:bCs/>
          <w:color w:val="000000" w:themeColor="text1"/>
          <w:sz w:val="36"/>
          <w:szCs w:val="36"/>
          <w:highlight w:val="none"/>
          <w:vertAlign w:val="baseline"/>
          <w:lang w:val="en-US" w:eastAsia="zh-CN"/>
          <w14:textFill>
            <w14:solidFill>
              <w14:schemeClr w14:val="tx1"/>
            </w14:solidFill>
          </w14:textFill>
        </w:rPr>
      </w:pPr>
    </w:p>
    <w:p>
      <w:pPr>
        <w:pStyle w:val="6"/>
        <w:jc w:val="center"/>
        <w:rPr>
          <w:rFonts w:hint="default" w:ascii="仿宋" w:hAnsi="仿宋" w:eastAsia="仿宋" w:cs="仿宋"/>
          <w:b/>
          <w:bCs/>
          <w:color w:val="000000" w:themeColor="text1"/>
          <w:sz w:val="36"/>
          <w:szCs w:val="36"/>
          <w:highlight w:val="none"/>
          <w:vertAlign w:val="baseline"/>
          <w:lang w:val="en-US" w:eastAsia="zh-CN"/>
          <w14:textFill>
            <w14:solidFill>
              <w14:schemeClr w14:val="tx1"/>
            </w14:solidFill>
          </w14:textFill>
        </w:rPr>
      </w:pPr>
    </w:p>
    <w:p>
      <w:pPr>
        <w:pStyle w:val="6"/>
        <w:jc w:val="both"/>
        <w:rPr>
          <w:rFonts w:hint="eastAsia"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t>单位名称（公章）：</w:t>
      </w:r>
    </w:p>
    <w:p>
      <w:pPr>
        <w:pStyle w:val="6"/>
        <w:jc w:val="both"/>
        <w:rPr>
          <w:rFonts w:hint="eastAsia"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p>
      <w:pPr>
        <w:pStyle w:val="6"/>
        <w:jc w:val="both"/>
        <w:rPr>
          <w:rFonts w:hint="eastAsia"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pPr>
    </w:p>
    <w:p>
      <w:pPr>
        <w:pStyle w:val="6"/>
        <w:jc w:val="both"/>
        <w:rPr>
          <w:rFonts w:hint="default"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color w:val="000000" w:themeColor="text1"/>
          <w:sz w:val="28"/>
          <w:szCs w:val="28"/>
          <w:highlight w:val="none"/>
          <w:vertAlign w:val="baseline"/>
          <w:lang w:val="en-US" w:eastAsia="zh-CN"/>
          <w14:textFill>
            <w14:solidFill>
              <w14:schemeClr w14:val="tx1"/>
            </w14:solidFill>
          </w14:textFill>
        </w:rPr>
        <w:t>日期：       年     月    日</w:t>
      </w:r>
    </w:p>
    <w:p>
      <w:pPr>
        <w:pStyle w:val="4"/>
        <w:rPr>
          <w:rFonts w:hint="default"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附件2：要求</w:t>
      </w:r>
    </w:p>
    <w:p>
      <w:pPr>
        <w:pStyle w:val="4"/>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响应文件要求</w:t>
      </w:r>
    </w:p>
    <w:p>
      <w:pPr>
        <w:pStyle w:val="6"/>
        <w:numPr>
          <w:ilvl w:val="0"/>
          <w:numId w:val="0"/>
        </w:numPr>
        <w:jc w:val="center"/>
        <w:rPr>
          <w:rFonts w:hint="default"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内容要求</w:t>
      </w:r>
    </w:p>
    <w:p>
      <w:pPr>
        <w:pStyle w:val="6"/>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1.营业执照副本（复印件加盖公章）及相关资质证明</w:t>
      </w:r>
    </w:p>
    <w:p>
      <w:pPr>
        <w:pStyle w:val="6"/>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2.法定代表人授权委托书，如法定代表人参加报价，提供法定代表人证明或身份证（复印件加盖公章）</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3.</w:t>
      </w: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报价单（见附件3）</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4.供应商认为有必要的其他材料（</w:t>
      </w:r>
      <w: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t>参照评分表</w:t>
      </w: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w:t>
      </w:r>
    </w:p>
    <w:p>
      <w:pPr>
        <w:pStyle w:val="6"/>
        <w:numPr>
          <w:ilvl w:val="0"/>
          <w:numId w:val="0"/>
        </w:numPr>
        <w:jc w:val="center"/>
        <w:rPr>
          <w:rFonts w:hint="default"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其他要求</w:t>
      </w:r>
    </w:p>
    <w:p>
      <w:pPr>
        <w:pStyle w:val="6"/>
        <w:numPr>
          <w:ilvl w:val="0"/>
          <w:numId w:val="1"/>
        </w:numPr>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响应文件，一份三份，建议钉装或胶装。</w:t>
      </w:r>
    </w:p>
    <w:p>
      <w:pPr>
        <w:pStyle w:val="6"/>
        <w:numPr>
          <w:ilvl w:val="0"/>
          <w:numId w:val="1"/>
        </w:numPr>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对响应文件密封情况不做要求。</w:t>
      </w:r>
    </w:p>
    <w:p>
      <w:pP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br w:type="page"/>
      </w:r>
    </w:p>
    <w:p>
      <w:pPr>
        <w:pStyle w:val="6"/>
        <w:jc w:val="center"/>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6"/>
        <w:jc w:val="left"/>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附件3：报价单</w:t>
      </w:r>
    </w:p>
    <w:p>
      <w:pPr>
        <w:pStyle w:val="6"/>
        <w:jc w:val="center"/>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6"/>
          <w:szCs w:val="36"/>
          <w:highlight w:val="none"/>
          <w:vertAlign w:val="baseline"/>
          <w:lang w:val="en-US" w:eastAsia="zh-CN"/>
          <w14:textFill>
            <w14:solidFill>
              <w14:schemeClr w14:val="tx1"/>
            </w14:solidFill>
          </w14:textFill>
        </w:rPr>
        <w:t>维保费用报价单</w:t>
      </w:r>
    </w:p>
    <w:tbl>
      <w:tblPr>
        <w:tblStyle w:val="10"/>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3702"/>
        <w:gridCol w:w="43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6"/>
              <w:jc w:val="cente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t>序号</w:t>
            </w:r>
          </w:p>
        </w:tc>
        <w:tc>
          <w:tcPr>
            <w:tcW w:w="3702" w:type="dxa"/>
            <w:tcBorders>
              <w:top w:val="single" w:color="000000" w:sz="4" w:space="0"/>
              <w:left w:val="single" w:color="000000" w:sz="4" w:space="0"/>
              <w:bottom w:val="single" w:color="000000" w:sz="4" w:space="0"/>
              <w:right w:val="single" w:color="000000" w:sz="4" w:space="0"/>
            </w:tcBorders>
            <w:noWrap w:val="0"/>
            <w:vAlign w:val="center"/>
          </w:tcPr>
          <w:p>
            <w:pPr>
              <w:pStyle w:val="6"/>
              <w:jc w:val="cente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t>项目名称</w:t>
            </w:r>
          </w:p>
        </w:tc>
        <w:tc>
          <w:tcPr>
            <w:tcW w:w="4342" w:type="dxa"/>
            <w:tcBorders>
              <w:top w:val="single" w:color="000000" w:sz="4" w:space="0"/>
              <w:left w:val="single" w:color="000000" w:sz="4" w:space="0"/>
              <w:bottom w:val="single" w:color="000000" w:sz="4" w:space="0"/>
              <w:right w:val="single" w:color="000000" w:sz="4" w:space="0"/>
            </w:tcBorders>
            <w:noWrap w:val="0"/>
            <w:vAlign w:val="center"/>
          </w:tcPr>
          <w:p>
            <w:pPr>
              <w:pStyle w:val="6"/>
              <w:jc w:val="cente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6"/>
              <w:jc w:val="cente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1</w:t>
            </w:r>
          </w:p>
        </w:tc>
        <w:tc>
          <w:tcPr>
            <w:tcW w:w="3702" w:type="dxa"/>
            <w:tcBorders>
              <w:top w:val="single" w:color="000000" w:sz="4" w:space="0"/>
              <w:left w:val="single" w:color="000000" w:sz="4" w:space="0"/>
              <w:bottom w:val="single" w:color="000000" w:sz="4" w:space="0"/>
              <w:right w:val="single" w:color="000000" w:sz="4" w:space="0"/>
            </w:tcBorders>
            <w:noWrap w:val="0"/>
            <w:vAlign w:val="center"/>
          </w:tcPr>
          <w:p>
            <w:pPr>
              <w:pStyle w:val="6"/>
              <w:jc w:val="both"/>
              <w:rPr>
                <w:rFonts w:hint="default"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山东省第二康复医院住院楼中央空调维保单位采购</w:t>
            </w:r>
          </w:p>
        </w:tc>
        <w:tc>
          <w:tcPr>
            <w:tcW w:w="4342" w:type="dxa"/>
            <w:tcBorders>
              <w:top w:val="single" w:color="000000" w:sz="4" w:space="0"/>
              <w:left w:val="single" w:color="000000" w:sz="4" w:space="0"/>
              <w:bottom w:val="single" w:color="000000" w:sz="4" w:space="0"/>
              <w:right w:val="single" w:color="000000" w:sz="4" w:space="0"/>
            </w:tcBorders>
            <w:noWrap w:val="0"/>
            <w:vAlign w:val="center"/>
          </w:tcPr>
          <w:p>
            <w:pPr>
              <w:pStyle w:val="6"/>
              <w:jc w:val="both"/>
              <w:rPr>
                <w:rFonts w:hint="default"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小 写 ：                 /年</w:t>
            </w:r>
          </w:p>
          <w:p>
            <w:pPr>
              <w:pStyle w:val="6"/>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大 写 ：                /年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9" w:hRule="atLeast"/>
          <w:jc w:val="center"/>
        </w:trPr>
        <w:tc>
          <w:tcPr>
            <w:tcW w:w="915" w:type="dxa"/>
            <w:tcBorders>
              <w:top w:val="single" w:color="000000" w:sz="4" w:space="0"/>
              <w:left w:val="single" w:color="000000" w:sz="4" w:space="0"/>
              <w:bottom w:val="single" w:color="auto" w:sz="4" w:space="0"/>
              <w:right w:val="single" w:color="000000" w:sz="4" w:space="0"/>
            </w:tcBorders>
            <w:noWrap w:val="0"/>
            <w:vAlign w:val="center"/>
          </w:tcPr>
          <w:p>
            <w:pPr>
              <w:pStyle w:val="6"/>
              <w:jc w:val="center"/>
              <w:rPr>
                <w:rFonts w:hint="default"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2</w:t>
            </w:r>
          </w:p>
        </w:tc>
        <w:tc>
          <w:tcPr>
            <w:tcW w:w="8044" w:type="dxa"/>
            <w:gridSpan w:val="2"/>
            <w:tcBorders>
              <w:top w:val="single" w:color="000000" w:sz="4" w:space="0"/>
              <w:left w:val="single" w:color="000000" w:sz="4" w:space="0"/>
              <w:bottom w:val="single" w:color="000000" w:sz="4" w:space="0"/>
              <w:right w:val="single" w:color="000000" w:sz="4" w:space="0"/>
            </w:tcBorders>
            <w:noWrap w:val="0"/>
            <w:vAlign w:val="top"/>
          </w:tcPr>
          <w:p>
            <w:pPr>
              <w:pStyle w:val="6"/>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配件报价折扣</w:t>
            </w:r>
          </w:p>
          <w:p>
            <w:pPr>
              <w:pStyle w:val="6"/>
              <w:jc w:val="both"/>
              <w:rPr>
                <w:rFonts w:hint="eastAsia" w:ascii="仿宋" w:hAnsi="仿宋" w:eastAsia="仿宋" w:cs="仿宋"/>
                <w:color w:val="000000" w:themeColor="text1"/>
                <w:sz w:val="28"/>
                <w:szCs w:val="28"/>
                <w:highlight w:val="none"/>
                <w:u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u w:val="single"/>
                <w:vertAlign w:val="baseli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u w:val="none"/>
                <w:vertAlign w:val="baseline"/>
                <w:lang w:val="en-US" w:eastAsia="zh-CN"/>
                <w14:textFill>
                  <w14:solidFill>
                    <w14:schemeClr w14:val="tx1"/>
                  </w14:solidFill>
                </w14:textFill>
              </w:rPr>
              <w:t>折</w:t>
            </w:r>
          </w:p>
          <w:p>
            <w:pPr>
              <w:pStyle w:val="6"/>
              <w:jc w:val="both"/>
              <w:rPr>
                <w:rFonts w:hint="eastAsia" w:ascii="仿宋" w:hAnsi="仿宋" w:eastAsia="仿宋" w:cs="仿宋"/>
                <w:color w:val="000000" w:themeColor="text1"/>
                <w:sz w:val="28"/>
                <w:szCs w:val="28"/>
                <w:highlight w:val="none"/>
                <w:u w:val="none"/>
                <w:vertAlign w:val="baseline"/>
                <w:lang w:val="en-US" w:eastAsia="zh-CN"/>
                <w14:textFill>
                  <w14:solidFill>
                    <w14:schemeClr w14:val="tx1"/>
                  </w14:solidFill>
                </w14:textFill>
              </w:rPr>
            </w:pPr>
          </w:p>
          <w:p>
            <w:pPr>
              <w:pStyle w:val="6"/>
              <w:jc w:val="both"/>
              <w:rPr>
                <w:rFonts w:hint="default" w:ascii="仿宋" w:hAnsi="仿宋" w:eastAsia="仿宋" w:cs="仿宋"/>
                <w:color w:val="000000" w:themeColor="text1"/>
                <w:sz w:val="28"/>
                <w:szCs w:val="28"/>
                <w:highlight w:val="none"/>
                <w:u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u w:val="none"/>
                <w:vertAlign w:val="baseline"/>
                <w:lang w:val="en-US" w:eastAsia="zh-CN"/>
                <w14:textFill>
                  <w14:solidFill>
                    <w14:schemeClr w14:val="tx1"/>
                  </w14:solidFill>
                </w14:textFill>
              </w:rPr>
              <w:t>即 配件实际价格=配件控制价*折扣</w:t>
            </w:r>
          </w:p>
        </w:tc>
      </w:tr>
    </w:tbl>
    <w:p>
      <w:pPr>
        <w:pStyle w:val="6"/>
        <w:ind w:left="1280" w:hanging="1120" w:hangingChars="400"/>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注：（1）提交报价单视同响应院内采购项目需求公示中所有要求。</w:t>
      </w:r>
    </w:p>
    <w:p>
      <w:pPr>
        <w:pStyle w:val="6"/>
        <w:numPr>
          <w:ilvl w:val="0"/>
          <w:numId w:val="2"/>
        </w:numPr>
        <w:ind w:firstLine="280" w:firstLineChars="100"/>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供应商所报价格为含税全包价，因参与本项目产生的人工、印刷、差旅等费用由供应商承担。</w:t>
      </w:r>
    </w:p>
    <w:p>
      <w:pPr>
        <w:pStyle w:val="6"/>
        <w:widowControl w:val="0"/>
        <w:numPr>
          <w:ilvl w:val="0"/>
          <w:numId w:val="0"/>
        </w:numPr>
        <w:ind w:firstLine="280" w:firstLineChars="100"/>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（3）报价不得高于预算控制价。</w:t>
      </w:r>
    </w:p>
    <w:p>
      <w:pPr>
        <w:pStyle w:val="6"/>
        <w:widowControl w:val="0"/>
        <w:numPr>
          <w:ilvl w:val="0"/>
          <w:numId w:val="0"/>
        </w:numPr>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t xml:space="preserve">  </w:t>
      </w:r>
    </w:p>
    <w:p>
      <w:pPr>
        <w:pStyle w:val="6"/>
        <w:widowControl w:val="0"/>
        <w:numPr>
          <w:ilvl w:val="0"/>
          <w:numId w:val="0"/>
        </w:numPr>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p>
    <w:p>
      <w:pPr>
        <w:pStyle w:val="6"/>
        <w:widowControl w:val="0"/>
        <w:numPr>
          <w:ilvl w:val="0"/>
          <w:numId w:val="0"/>
        </w:numPr>
        <w:jc w:val="both"/>
        <w:rPr>
          <w:rFonts w:hint="eastAsia" w:ascii="仿宋" w:hAnsi="仿宋" w:eastAsia="仿宋" w:cs="仿宋"/>
          <w:color w:val="000000" w:themeColor="text1"/>
          <w:sz w:val="28"/>
          <w:szCs w:val="28"/>
          <w:highlight w:val="none"/>
          <w:vertAlign w:val="baseline"/>
          <w:lang w:val="en-US" w:eastAsia="zh-CN"/>
          <w14:textFill>
            <w14:solidFill>
              <w14:schemeClr w14:val="tx1"/>
            </w14:solidFill>
          </w14:textFill>
        </w:rPr>
      </w:pP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 xml:space="preserve">供应商名称：（公章）         </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 xml:space="preserve">法定代表人或授权代理人（签字或盖章）：          </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 xml:space="preserve">                             </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t>年   月   日</w:t>
      </w:r>
    </w:p>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pPr>
    </w:p>
    <w:p>
      <w:pPr>
        <w:pStyle w:val="6"/>
        <w:jc w:val="center"/>
        <w:rPr>
          <w:rFonts w:hint="default" w:ascii="仿宋" w:hAnsi="仿宋" w:eastAsia="仿宋" w:cs="仿宋"/>
          <w:b/>
          <w:bCs/>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vertAlign w:val="baseline"/>
          <w:lang w:val="en-US" w:eastAsia="zh-CN"/>
          <w14:textFill>
            <w14:solidFill>
              <w14:schemeClr w14:val="tx1"/>
            </w14:solidFill>
          </w14:textFill>
        </w:rPr>
        <w:t>配件清单控制价</w:t>
      </w:r>
    </w:p>
    <w:tbl>
      <w:tblPr>
        <w:tblStyle w:val="10"/>
        <w:tblW w:w="8837" w:type="dxa"/>
        <w:tblInd w:w="-512" w:type="dxa"/>
        <w:tblLayout w:type="fixed"/>
        <w:tblCellMar>
          <w:top w:w="0" w:type="dxa"/>
          <w:left w:w="108" w:type="dxa"/>
          <w:bottom w:w="0" w:type="dxa"/>
          <w:right w:w="108" w:type="dxa"/>
        </w:tblCellMar>
      </w:tblPr>
      <w:tblGrid>
        <w:gridCol w:w="801"/>
        <w:gridCol w:w="2444"/>
        <w:gridCol w:w="2056"/>
        <w:gridCol w:w="757"/>
        <w:gridCol w:w="811"/>
        <w:gridCol w:w="757"/>
        <w:gridCol w:w="1211"/>
      </w:tblGrid>
      <w:tr>
        <w:tblPrEx>
          <w:tblCellMar>
            <w:top w:w="0" w:type="dxa"/>
            <w:left w:w="108" w:type="dxa"/>
            <w:bottom w:w="0" w:type="dxa"/>
            <w:right w:w="108" w:type="dxa"/>
          </w:tblCellMar>
        </w:tblPrEx>
        <w:trPr>
          <w:trHeight w:val="592" w:hRule="atLeast"/>
        </w:trPr>
        <w:tc>
          <w:tcPr>
            <w:tcW w:w="80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序号</w:t>
            </w:r>
          </w:p>
        </w:tc>
        <w:tc>
          <w:tcPr>
            <w:tcW w:w="2444"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名称</w:t>
            </w:r>
          </w:p>
        </w:tc>
        <w:tc>
          <w:tcPr>
            <w:tcW w:w="2056"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主机型号</w:t>
            </w:r>
          </w:p>
        </w:tc>
        <w:tc>
          <w:tcPr>
            <w:tcW w:w="757"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单位</w:t>
            </w:r>
          </w:p>
        </w:tc>
        <w:tc>
          <w:tcPr>
            <w:tcW w:w="811"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品牌</w:t>
            </w:r>
          </w:p>
        </w:tc>
        <w:tc>
          <w:tcPr>
            <w:tcW w:w="757"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数量</w:t>
            </w:r>
          </w:p>
        </w:tc>
        <w:tc>
          <w:tcPr>
            <w:tcW w:w="1211" w:type="dxa"/>
            <w:tcBorders>
              <w:top w:val="single" w:color="auto" w:sz="4" w:space="0"/>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预算单价（元）</w:t>
            </w:r>
          </w:p>
        </w:tc>
      </w:tr>
      <w:tr>
        <w:tblPrEx>
          <w:tblCellMar>
            <w:top w:w="0" w:type="dxa"/>
            <w:left w:w="108" w:type="dxa"/>
            <w:bottom w:w="0" w:type="dxa"/>
            <w:right w:w="108" w:type="dxa"/>
          </w:tblCellMar>
        </w:tblPrEx>
        <w:trPr>
          <w:trHeight w:val="489"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压缩机</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台</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11400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室外机电源板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350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压缩机控制板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870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压缩机功率模块</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1340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室外机风扇电机</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台</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3200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室外机风扇控制板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1750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室外机主控制板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RAS-224FSDNQ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RAS-</w:t>
            </w:r>
            <w:r>
              <w:rPr>
                <w:rFonts w:hint="eastAsia" w:ascii="仿宋" w:hAnsi="仿宋" w:eastAsia="仿宋" w:cs="仿宋"/>
                <w:color w:val="000000" w:themeColor="text1"/>
                <w:sz w:val="24"/>
                <w:szCs w:val="24"/>
                <w:highlight w:val="none"/>
                <w14:textFill>
                  <w14:solidFill>
                    <w14:schemeClr w14:val="tx1"/>
                  </w14:solidFill>
                </w14:textFill>
              </w:rPr>
              <w:t>1180</w:t>
            </w:r>
            <w:r>
              <w:rPr>
                <w:rFonts w:hint="eastAsia" w:ascii="仿宋" w:hAnsi="仿宋" w:eastAsia="仿宋" w:cs="仿宋"/>
                <w:color w:val="000000" w:themeColor="text1"/>
                <w:sz w:val="24"/>
                <w:szCs w:val="24"/>
                <w:highlight w:val="none"/>
                <w:lang w:val="zh-CN"/>
                <w14:textFill>
                  <w14:solidFill>
                    <w14:schemeClr w14:val="tx1"/>
                  </w14:solidFill>
                </w14:textFill>
              </w:rPr>
              <w:t>FSDNQ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1450</w:t>
            </w:r>
          </w:p>
        </w:tc>
      </w:tr>
      <w:tr>
        <w:tblPrEx>
          <w:tblCellMar>
            <w:top w:w="0" w:type="dxa"/>
            <w:left w:w="108" w:type="dxa"/>
            <w:bottom w:w="0" w:type="dxa"/>
            <w:right w:w="108" w:type="dxa"/>
          </w:tblCellMar>
        </w:tblPrEx>
        <w:trPr>
          <w:trHeight w:val="1167"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室内机通讯板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RPIZ-22FSDNQC/P</w:t>
            </w:r>
          </w:p>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RPI-</w:t>
            </w:r>
            <w:r>
              <w:rPr>
                <w:rFonts w:hint="eastAsia" w:ascii="仿宋" w:hAnsi="仿宋" w:eastAsia="仿宋" w:cs="仿宋"/>
                <w:color w:val="000000" w:themeColor="text1"/>
                <w:sz w:val="24"/>
                <w:szCs w:val="24"/>
                <w:highlight w:val="none"/>
                <w14:textFill>
                  <w14:solidFill>
                    <w14:schemeClr w14:val="tx1"/>
                  </w14:solidFill>
                </w14:textFill>
              </w:rPr>
              <w:t>112</w:t>
            </w:r>
            <w:r>
              <w:rPr>
                <w:rFonts w:ascii="仿宋" w:hAnsi="仿宋" w:eastAsia="仿宋" w:cs="仿宋"/>
                <w:color w:val="000000" w:themeColor="text1"/>
                <w:sz w:val="24"/>
                <w:szCs w:val="24"/>
                <w:highlight w:val="none"/>
                <w14:textFill>
                  <w14:solidFill>
                    <w14:schemeClr w14:val="tx1"/>
                  </w14:solidFill>
                </w14:textFill>
              </w:rPr>
              <w:t>FSDNQLC</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RCI-50FSKDNQ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RCI-125FSKDNQ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460</w:t>
            </w:r>
          </w:p>
        </w:tc>
      </w:tr>
      <w:tr>
        <w:tblPrEx>
          <w:tblCellMar>
            <w:top w:w="0" w:type="dxa"/>
            <w:left w:w="108" w:type="dxa"/>
            <w:bottom w:w="0" w:type="dxa"/>
            <w:right w:w="108" w:type="dxa"/>
          </w:tblCellMar>
        </w:tblPrEx>
        <w:trPr>
          <w:trHeight w:val="1167"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室内机电源板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hint="eastAsia" w:ascii="仿宋" w:hAnsi="仿宋" w:eastAsia="仿宋" w:cs="仿宋"/>
                <w:color w:val="000000" w:themeColor="text1"/>
                <w:sz w:val="24"/>
                <w:szCs w:val="24"/>
                <w:highlight w:val="none"/>
                <w:lang w:val="zh-CN"/>
                <w14:textFill>
                  <w14:solidFill>
                    <w14:schemeClr w14:val="tx1"/>
                  </w14:solidFill>
                </w14:textFill>
              </w:rPr>
              <w:t>RPIZ-22FSDNQC</w:t>
            </w:r>
            <w:r>
              <w:rPr>
                <w:rFonts w:hint="eastAsia" w:ascii="仿宋" w:hAnsi="仿宋" w:eastAsia="仿宋" w:cs="仿宋"/>
                <w:color w:val="000000" w:themeColor="text1"/>
                <w:sz w:val="24"/>
                <w:szCs w:val="24"/>
                <w:highlight w:val="none"/>
                <w14:textFill>
                  <w14:solidFill>
                    <w14:schemeClr w14:val="tx1"/>
                  </w14:solidFill>
                </w14:textFill>
              </w:rPr>
              <w:t>/P</w:t>
            </w:r>
          </w:p>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RPI-</w:t>
            </w:r>
            <w:r>
              <w:rPr>
                <w:rFonts w:hint="eastAsia" w:ascii="仿宋" w:hAnsi="仿宋" w:eastAsia="仿宋" w:cs="仿宋"/>
                <w:color w:val="000000" w:themeColor="text1"/>
                <w:sz w:val="24"/>
                <w:szCs w:val="24"/>
                <w:highlight w:val="none"/>
                <w14:textFill>
                  <w14:solidFill>
                    <w14:schemeClr w14:val="tx1"/>
                  </w14:solidFill>
                </w14:textFill>
              </w:rPr>
              <w:t>112</w:t>
            </w:r>
            <w:r>
              <w:rPr>
                <w:rFonts w:ascii="仿宋" w:hAnsi="仿宋" w:eastAsia="仿宋" w:cs="仿宋"/>
                <w:color w:val="000000" w:themeColor="text1"/>
                <w:sz w:val="24"/>
                <w:szCs w:val="24"/>
                <w:highlight w:val="none"/>
                <w14:textFill>
                  <w14:solidFill>
                    <w14:schemeClr w14:val="tx1"/>
                  </w14:solidFill>
                </w14:textFill>
              </w:rPr>
              <w:t>FSDNQLC</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RCI-50FSKDNQ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RCI-125FSKDNQ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370</w:t>
            </w:r>
          </w:p>
        </w:tc>
      </w:tr>
      <w:tr>
        <w:tblPrEx>
          <w:tblCellMar>
            <w:top w:w="0" w:type="dxa"/>
            <w:left w:w="108" w:type="dxa"/>
            <w:bottom w:w="0" w:type="dxa"/>
            <w:right w:w="108" w:type="dxa"/>
          </w:tblCellMar>
        </w:tblPrEx>
        <w:trPr>
          <w:trHeight w:val="1167"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室内机主板</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RPIZ-22FSDNQC/P</w:t>
            </w:r>
          </w:p>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RPI-</w:t>
            </w:r>
            <w:r>
              <w:rPr>
                <w:rFonts w:hint="eastAsia" w:ascii="仿宋" w:hAnsi="仿宋" w:eastAsia="仿宋" w:cs="仿宋"/>
                <w:color w:val="000000" w:themeColor="text1"/>
                <w:sz w:val="24"/>
                <w:szCs w:val="24"/>
                <w:highlight w:val="none"/>
                <w14:textFill>
                  <w14:solidFill>
                    <w14:schemeClr w14:val="tx1"/>
                  </w14:solidFill>
                </w14:textFill>
              </w:rPr>
              <w:t>112</w:t>
            </w:r>
            <w:r>
              <w:rPr>
                <w:rFonts w:ascii="仿宋" w:hAnsi="仿宋" w:eastAsia="仿宋" w:cs="仿宋"/>
                <w:color w:val="000000" w:themeColor="text1"/>
                <w:sz w:val="24"/>
                <w:szCs w:val="24"/>
                <w:highlight w:val="none"/>
                <w14:textFill>
                  <w14:solidFill>
                    <w14:schemeClr w14:val="tx1"/>
                  </w14:solidFill>
                </w14:textFill>
              </w:rPr>
              <w:t>FSDNQLC</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RCI-50FSKDNQ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RCI-125FSKDNQ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670</w:t>
            </w:r>
          </w:p>
        </w:tc>
      </w:tr>
      <w:tr>
        <w:tblPrEx>
          <w:tblCellMar>
            <w:top w:w="0" w:type="dxa"/>
            <w:left w:w="108" w:type="dxa"/>
            <w:bottom w:w="0" w:type="dxa"/>
            <w:right w:w="108" w:type="dxa"/>
          </w:tblCellMar>
        </w:tblPrEx>
        <w:trPr>
          <w:trHeight w:val="1167"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11</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室内机风扇电机</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RPIZ-22FSDNQC/P</w:t>
            </w:r>
          </w:p>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w:t>
            </w:r>
            <w:r>
              <w:rPr>
                <w:rFonts w:ascii="仿宋" w:hAnsi="仿宋" w:eastAsia="仿宋" w:cs="仿宋"/>
                <w:color w:val="000000" w:themeColor="text1"/>
                <w:sz w:val="24"/>
                <w:szCs w:val="24"/>
                <w:highlight w:val="none"/>
                <w14:textFill>
                  <w14:solidFill>
                    <w14:schemeClr w14:val="tx1"/>
                  </w14:solidFill>
                </w14:textFill>
              </w:rPr>
              <w:t>RPI-</w:t>
            </w:r>
            <w:r>
              <w:rPr>
                <w:rFonts w:hint="eastAsia" w:ascii="仿宋" w:hAnsi="仿宋" w:eastAsia="仿宋" w:cs="仿宋"/>
                <w:color w:val="000000" w:themeColor="text1"/>
                <w:sz w:val="24"/>
                <w:szCs w:val="24"/>
                <w:highlight w:val="none"/>
                <w14:textFill>
                  <w14:solidFill>
                    <w14:schemeClr w14:val="tx1"/>
                  </w14:solidFill>
                </w14:textFill>
              </w:rPr>
              <w:t>112</w:t>
            </w:r>
            <w:r>
              <w:rPr>
                <w:rFonts w:ascii="仿宋" w:hAnsi="仿宋" w:eastAsia="仿宋" w:cs="仿宋"/>
                <w:color w:val="000000" w:themeColor="text1"/>
                <w:sz w:val="24"/>
                <w:szCs w:val="24"/>
                <w:highlight w:val="none"/>
                <w14:textFill>
                  <w14:solidFill>
                    <w14:schemeClr w14:val="tx1"/>
                  </w14:solidFill>
                </w14:textFill>
              </w:rPr>
              <w:t>FSDNQLC</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RCI-50FSKDNQ</w:t>
            </w:r>
          </w:p>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RCI-125FSKDNQ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台</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910</w:t>
            </w:r>
          </w:p>
        </w:tc>
      </w:tr>
      <w:tr>
        <w:tblPrEx>
          <w:tblCellMar>
            <w:top w:w="0" w:type="dxa"/>
            <w:left w:w="108" w:type="dxa"/>
            <w:bottom w:w="0" w:type="dxa"/>
            <w:right w:w="108" w:type="dxa"/>
          </w:tblCellMar>
        </w:tblPrEx>
        <w:trPr>
          <w:trHeight w:val="638"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12</w:t>
            </w:r>
          </w:p>
        </w:tc>
        <w:tc>
          <w:tcPr>
            <w:tcW w:w="2444"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线控器（老款停产，现在是新款）</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val="zh-CN"/>
                <w14:textFill>
                  <w14:solidFill>
                    <w14:schemeClr w14:val="tx1"/>
                  </w14:solidFill>
                </w14:textFill>
              </w:rPr>
              <w:t>PC-P1H6Q</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940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13</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新风机（电机）</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KPI-2021Q2/KPI-3021Q2/KPI-1521Q2</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台</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680</w:t>
            </w:r>
          </w:p>
        </w:tc>
      </w:tr>
      <w:tr>
        <w:tblPrEx>
          <w:tblCellMar>
            <w:top w:w="0" w:type="dxa"/>
            <w:left w:w="108" w:type="dxa"/>
            <w:bottom w:w="0" w:type="dxa"/>
            <w:right w:w="108" w:type="dxa"/>
          </w:tblCellMar>
        </w:tblPrEx>
        <w:trPr>
          <w:trHeight w:val="592"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14</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新风机（粗效滤网）</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KPI-2021Q2/KPI-3021Q2/KPI-1521Q2</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130</w:t>
            </w:r>
          </w:p>
        </w:tc>
      </w:tr>
      <w:tr>
        <w:tblPrEx>
          <w:tblCellMar>
            <w:top w:w="0" w:type="dxa"/>
            <w:left w:w="108" w:type="dxa"/>
            <w:bottom w:w="0" w:type="dxa"/>
            <w:right w:w="108" w:type="dxa"/>
          </w:tblCellMar>
        </w:tblPrEx>
        <w:trPr>
          <w:trHeight w:val="670"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w:t>
            </w:r>
          </w:p>
        </w:tc>
        <w:tc>
          <w:tcPr>
            <w:tcW w:w="2444" w:type="dxa"/>
            <w:tcBorders>
              <w:top w:val="nil"/>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新风机（特殊滤网交换纸张 ）</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KPI-2021Q2/KPI-3021Q2/KPI-1521Q2</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个</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日立</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1590</w:t>
            </w:r>
          </w:p>
        </w:tc>
      </w:tr>
      <w:tr>
        <w:tblPrEx>
          <w:tblCellMar>
            <w:top w:w="0" w:type="dxa"/>
            <w:left w:w="108" w:type="dxa"/>
            <w:bottom w:w="0" w:type="dxa"/>
            <w:right w:w="108" w:type="dxa"/>
          </w:tblCellMar>
        </w:tblPrEx>
        <w:trPr>
          <w:trHeight w:val="616" w:hRule="atLeast"/>
        </w:trPr>
        <w:tc>
          <w:tcPr>
            <w:tcW w:w="801" w:type="dxa"/>
            <w:tcBorders>
              <w:top w:val="nil"/>
              <w:left w:val="single" w:color="auto" w:sz="4" w:space="0"/>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16</w:t>
            </w:r>
          </w:p>
        </w:tc>
        <w:tc>
          <w:tcPr>
            <w:tcW w:w="2444"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制冷剂</w:t>
            </w:r>
          </w:p>
        </w:tc>
        <w:tc>
          <w:tcPr>
            <w:tcW w:w="2056"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410A</w:t>
            </w: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Kg</w:t>
            </w:r>
          </w:p>
        </w:tc>
        <w:tc>
          <w:tcPr>
            <w:tcW w:w="8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757"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w:t>
            </w:r>
          </w:p>
        </w:tc>
        <w:tc>
          <w:tcPr>
            <w:tcW w:w="1211" w:type="dxa"/>
            <w:tcBorders>
              <w:top w:val="nil"/>
              <w:left w:val="nil"/>
              <w:bottom w:val="single" w:color="auto" w:sz="4" w:space="0"/>
              <w:right w:val="single" w:color="auto" w:sz="4" w:space="0"/>
            </w:tcBorders>
            <w:noWrap/>
            <w:vAlign w:val="center"/>
          </w:tcPr>
          <w:p>
            <w:pPr>
              <w:autoSpaceDE w:val="0"/>
              <w:autoSpaceDN w:val="0"/>
              <w:adjustRightInd w:val="0"/>
              <w:snapToGrid w:val="0"/>
              <w:spacing w:line="240" w:lineRule="exact"/>
              <w:jc w:val="center"/>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67</w:t>
            </w:r>
          </w:p>
        </w:tc>
      </w:tr>
    </w:tbl>
    <w:p>
      <w:pPr>
        <w:pStyle w:val="6"/>
        <w:rPr>
          <w:rFonts w:hint="eastAsia" w:ascii="仿宋" w:hAnsi="仿宋" w:eastAsia="仿宋" w:cs="仿宋"/>
          <w:color w:val="000000" w:themeColor="text1"/>
          <w:sz w:val="32"/>
          <w:szCs w:val="32"/>
          <w:highlight w:val="none"/>
          <w:vertAlign w:val="baseline"/>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rPr>
          <w:rFonts w:hint="default" w:ascii="仿宋" w:hAnsi="仿宋" w:eastAsia="仿宋" w:cs="仿宋"/>
          <w:color w:val="000000" w:themeColor="text1"/>
          <w:sz w:val="32"/>
          <w:szCs w:val="32"/>
          <w:highlight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附件4：评分标准</w:t>
      </w:r>
    </w:p>
    <w:tbl>
      <w:tblPr>
        <w:tblStyle w:val="14"/>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9"/>
        <w:gridCol w:w="6812"/>
        <w:gridCol w:w="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1739" w:type="dxa"/>
            <w:tcBorders>
              <w:top w:val="single" w:color="000000" w:sz="2" w:space="0"/>
              <w:left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2" w:lineRule="auto"/>
              <w:ind w:left="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r>
              <w:rPr>
                <w:rFonts w:ascii="仿宋" w:hAnsi="仿宋" w:eastAsia="仿宋" w:cs="仿宋"/>
                <w:snapToGrid w:val="0"/>
                <w:color w:val="000000" w:themeColor="text1"/>
                <w:spacing w:val="-23"/>
                <w:kern w:val="0"/>
                <w:sz w:val="24"/>
                <w:szCs w:val="24"/>
                <w:highlight w:val="none"/>
                <w:lang w:val="en-US" w:eastAsia="en-US" w:bidi="ar-SA"/>
                <w14:textOutline w14:w="4358" w14:cap="sq" w14:cmpd="sng">
                  <w14:solidFill>
                    <w14:srgbClr w14:val="000000"/>
                  </w14:solidFill>
                  <w14:prstDash w14:val="solid"/>
                  <w14:bevel/>
                </w14:textOutline>
                <w14:textFill>
                  <w14:solidFill>
                    <w14:schemeClr w14:val="tx1"/>
                  </w14:solidFill>
                </w14:textFill>
              </w:rPr>
              <w:t>内</w:t>
            </w:r>
            <w:r>
              <w:rPr>
                <w:rFonts w:ascii="仿宋" w:hAnsi="仿宋" w:eastAsia="仿宋" w:cs="仿宋"/>
                <w:snapToGrid w:val="0"/>
                <w:color w:val="000000" w:themeColor="text1"/>
                <w:spacing w:val="9"/>
                <w:kern w:val="0"/>
                <w:sz w:val="24"/>
                <w:szCs w:val="24"/>
                <w:highlight w:val="none"/>
                <w:lang w:val="en-US" w:eastAsia="en-US" w:bidi="ar-SA"/>
                <w14:textFill>
                  <w14:solidFill>
                    <w14:schemeClr w14:val="tx1"/>
                  </w14:solidFill>
                </w14:textFill>
              </w:rPr>
              <w:t xml:space="preserve">  </w:t>
            </w:r>
            <w:r>
              <w:rPr>
                <w:rFonts w:ascii="仿宋" w:hAnsi="仿宋" w:eastAsia="仿宋" w:cs="仿宋"/>
                <w:snapToGrid w:val="0"/>
                <w:color w:val="000000" w:themeColor="text1"/>
                <w:spacing w:val="-23"/>
                <w:kern w:val="0"/>
                <w:sz w:val="24"/>
                <w:szCs w:val="24"/>
                <w:highlight w:val="none"/>
                <w:lang w:val="en-US" w:eastAsia="en-US" w:bidi="ar-SA"/>
                <w14:textOutline w14:w="4358" w14:cap="sq" w14:cmpd="sng">
                  <w14:solidFill>
                    <w14:srgbClr w14:val="000000"/>
                  </w14:solidFill>
                  <w14:prstDash w14:val="solid"/>
                  <w14:bevel/>
                </w14:textOutline>
                <w14:textFill>
                  <w14:solidFill>
                    <w14:schemeClr w14:val="tx1"/>
                  </w14:solidFill>
                </w14:textFill>
              </w:rPr>
              <w:t>容</w:t>
            </w:r>
          </w:p>
        </w:tc>
        <w:tc>
          <w:tcPr>
            <w:tcW w:w="6812" w:type="dxa"/>
            <w:tcBorders>
              <w:top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2" w:lineRule="auto"/>
              <w:ind w:left="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r>
              <w:rPr>
                <w:rFonts w:ascii="仿宋" w:hAnsi="仿宋" w:eastAsia="仿宋" w:cs="仿宋"/>
                <w:snapToGrid w:val="0"/>
                <w:color w:val="000000" w:themeColor="text1"/>
                <w:spacing w:val="-4"/>
                <w:kern w:val="0"/>
                <w:sz w:val="24"/>
                <w:szCs w:val="24"/>
                <w:highlight w:val="none"/>
                <w:lang w:val="en-US" w:eastAsia="en-US" w:bidi="ar-SA"/>
                <w14:textOutline w14:w="4358" w14:cap="sq" w14:cmpd="sng">
                  <w14:solidFill>
                    <w14:srgbClr w14:val="000000"/>
                  </w14:solidFill>
                  <w14:prstDash w14:val="solid"/>
                  <w14:bevel/>
                </w14:textOutline>
                <w14:textFill>
                  <w14:solidFill>
                    <w14:schemeClr w14:val="tx1"/>
                  </w14:solidFill>
                </w14:textFill>
              </w:rPr>
              <w:t>评分原则</w:t>
            </w:r>
          </w:p>
        </w:tc>
        <w:tc>
          <w:tcPr>
            <w:tcW w:w="747" w:type="dxa"/>
            <w:tcBorders>
              <w:top w:val="single" w:color="000000" w:sz="2" w:space="0"/>
              <w:right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3" w:lineRule="auto"/>
              <w:ind w:left="0"/>
              <w:jc w:val="center"/>
              <w:textAlignment w:val="baseline"/>
              <w:rPr>
                <w:rFonts w:hint="eastAsia"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报  价</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仿宋" w:hAnsi="仿宋" w:eastAsia="仿宋" w:cs="仿宋"/>
                <w:strike w:val="0"/>
                <w:dstrike w:val="0"/>
                <w:snapToGrid w:val="0"/>
                <w:color w:val="000000" w:themeColor="text1"/>
                <w:spacing w:val="-3"/>
                <w:kern w:val="0"/>
                <w:sz w:val="24"/>
                <w:szCs w:val="24"/>
                <w:highlight w:val="none"/>
                <w:lang w:val="en-US" w:eastAsia="zh-CN" w:bidi="ar-SA"/>
                <w14:textFill>
                  <w14:solidFill>
                    <w14:schemeClr w14:val="tx1"/>
                  </w14:solidFill>
                </w14:textFill>
              </w:rPr>
              <w:t>30</w:t>
            </w: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以满足</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采购</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文件要求且最终报价最低的响应报价为评审基准价，其价格分为满分</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30</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分，其他供应商的价格分按照下列公式计算：响应报价得分=（评审基准价/响应报价）×</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30</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%×100</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hint="default"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维修维保服务</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方案</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仿宋" w:hAnsi="仿宋" w:eastAsia="仿宋" w:cs="仿宋"/>
                <w:strike w:val="0"/>
                <w:dstrike w:val="0"/>
                <w:snapToGrid w:val="0"/>
                <w:color w:val="000000" w:themeColor="text1"/>
                <w:spacing w:val="-3"/>
                <w:kern w:val="0"/>
                <w:sz w:val="24"/>
                <w:szCs w:val="24"/>
                <w:highlight w:val="none"/>
                <w:lang w:val="en-US" w:eastAsia="zh-CN" w:bidi="ar-SA"/>
                <w14:textFill>
                  <w14:solidFill>
                    <w14:schemeClr w14:val="tx1"/>
                  </w14:solidFill>
                </w14:textFill>
              </w:rPr>
              <w:t>25</w:t>
            </w: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根据供应商提供的维修维保服务的服务方案完全响应</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采购</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文件要求的得</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25</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分，每有一处缺陷或不足扣 1分，扣完为止。</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服务保证措施</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仿宋" w:hAnsi="仿宋" w:eastAsia="仿宋" w:cs="仿宋"/>
                <w:strike w:val="0"/>
                <w:dstrike w:val="0"/>
                <w:snapToGrid w:val="0"/>
                <w:color w:val="000000" w:themeColor="text1"/>
                <w:spacing w:val="-3"/>
                <w:kern w:val="0"/>
                <w:sz w:val="24"/>
                <w:szCs w:val="24"/>
                <w:highlight w:val="none"/>
                <w:lang w:val="en-US" w:eastAsia="zh-CN" w:bidi="ar-SA"/>
                <w14:textFill>
                  <w14:solidFill>
                    <w14:schemeClr w14:val="tx1"/>
                  </w14:solidFill>
                </w14:textFill>
              </w:rPr>
              <w:t>18</w:t>
            </w: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根据供应商提供的维修维保服务保证措施的合理性、有效性、 有针对性等情况打分，满分1</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8</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分，每有一处缺陷或不足扣 1</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应急处理方案</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仿宋" w:hAnsi="仿宋" w:eastAsia="仿宋" w:cs="仿宋"/>
                <w:strike w:val="0"/>
                <w:snapToGrid w:val="0"/>
                <w:color w:val="000000" w:themeColor="text1"/>
                <w:spacing w:val="-3"/>
                <w:kern w:val="0"/>
                <w:sz w:val="24"/>
                <w:szCs w:val="24"/>
                <w:highlight w:val="none"/>
                <w:lang w:val="en-US" w:eastAsia="zh-CN" w:bidi="ar-SA"/>
                <w14:textFill>
                  <w14:solidFill>
                    <w14:schemeClr w14:val="tx1"/>
                  </w14:solidFill>
                </w14:textFill>
              </w:rPr>
              <w:t>10</w:t>
            </w: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根据供应商提供的突发事件应急处理方案进行打分，满分</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pPr>
            <w:r>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t>10</w:t>
            </w: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 xml:space="preserve">分，每有一处缺陷或不足扣 </w:t>
            </w:r>
            <w:r>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t>1</w:t>
            </w: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分</w:t>
            </w:r>
            <w:r>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t>。</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hint="default"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1739" w:type="dxa"/>
            <w:vMerge w:val="restart"/>
            <w:tcBorders>
              <w:left w:val="single" w:color="000000" w:sz="2" w:space="0"/>
              <w:bottom w:val="nil"/>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拟投入人员安</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排（</w:t>
            </w:r>
            <w:r>
              <w:rPr>
                <w:rFonts w:hint="eastAsia" w:ascii="仿宋" w:hAnsi="仿宋" w:eastAsia="仿宋" w:cs="仿宋"/>
                <w:strike w:val="0"/>
                <w:snapToGrid w:val="0"/>
                <w:color w:val="000000" w:themeColor="text1"/>
                <w:spacing w:val="-3"/>
                <w:kern w:val="0"/>
                <w:sz w:val="24"/>
                <w:szCs w:val="24"/>
                <w:highlight w:val="none"/>
                <w:lang w:val="en-US" w:eastAsia="zh-CN" w:bidi="ar-SA"/>
                <w14:textFill>
                  <w14:solidFill>
                    <w14:schemeClr w14:val="tx1"/>
                  </w14:solidFill>
                </w14:textFill>
              </w:rPr>
              <w:t>5</w:t>
            </w: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tcBorders>
              <w:bottom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项目经理：具有制冷、暖通等相关专业高级及以上职称的，得</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2 分。</w:t>
            </w:r>
          </w:p>
        </w:tc>
        <w:tc>
          <w:tcPr>
            <w:tcW w:w="747" w:type="dxa"/>
            <w:tcBorders>
              <w:bottom w:val="single" w:color="000000" w:sz="2" w:space="0"/>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jc w:val="center"/>
        </w:trPr>
        <w:tc>
          <w:tcPr>
            <w:tcW w:w="1739" w:type="dxa"/>
            <w:vMerge w:val="continue"/>
            <w:tcBorders>
              <w:top w:val="nil"/>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p>
        </w:tc>
        <w:tc>
          <w:tcPr>
            <w:tcW w:w="6812" w:type="dxa"/>
            <w:tcBorders>
              <w:top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结合本项目情况，根据供应商提供的维修人员（除项目经理） 配备情况进行评审，包括所提供维修人员的数量、专业、职称</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等，满分</w:t>
            </w:r>
            <w:r>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t>3</w:t>
            </w: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分，每有一处缺陷或不足扣 1 分。</w:t>
            </w:r>
          </w:p>
        </w:tc>
        <w:tc>
          <w:tcPr>
            <w:tcW w:w="747" w:type="dxa"/>
            <w:tcBorders>
              <w:top w:val="single" w:color="000000" w:sz="2" w:space="0"/>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hint="eastAsia" w:ascii="仿宋" w:hAnsi="仿宋" w:eastAsia="仿宋" w:cs="仿宋"/>
                <w:snapToGrid w:val="0"/>
                <w:color w:val="000000" w:themeColor="text1"/>
                <w:kern w:val="0"/>
                <w:sz w:val="24"/>
                <w:szCs w:val="24"/>
                <w:highlight w:val="none"/>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服务承诺</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w:t>
            </w:r>
            <w:r>
              <w:rPr>
                <w:rFonts w:hint="eastAsia" w:ascii="仿宋" w:hAnsi="仿宋" w:eastAsia="仿宋" w:cs="仿宋"/>
                <w:strike w:val="0"/>
                <w:snapToGrid w:val="0"/>
                <w:color w:val="000000" w:themeColor="text1"/>
                <w:spacing w:val="-3"/>
                <w:kern w:val="0"/>
                <w:sz w:val="24"/>
                <w:szCs w:val="24"/>
                <w:highlight w:val="none"/>
                <w:lang w:val="en-US" w:eastAsia="zh-CN" w:bidi="ar-SA"/>
                <w14:textFill>
                  <w14:solidFill>
                    <w14:schemeClr w14:val="tx1"/>
                  </w14:solidFill>
                </w14:textFill>
              </w:rPr>
              <w:t>5</w:t>
            </w:r>
            <w:r>
              <w:rPr>
                <w:rFonts w:ascii="仿宋" w:hAnsi="仿宋" w:eastAsia="仿宋" w:cs="仿宋"/>
                <w: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根据供应商提供的服务承诺情况，酌情打分，评委根据响应文</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 xml:space="preserve">件情况综合评审，每有一项相对弱势减 1 分，满分 </w:t>
            </w:r>
            <w:r>
              <w:rPr>
                <w:rFonts w:hint="eastAsia" w:ascii="仿宋" w:hAnsi="仿宋" w:eastAsia="仿宋" w:cs="仿宋"/>
                <w:strike w:val="0"/>
                <w:snapToGrid w:val="0"/>
                <w:color w:val="000000" w:themeColor="text1"/>
                <w:spacing w:val="4"/>
                <w:kern w:val="0"/>
                <w:sz w:val="24"/>
                <w:szCs w:val="24"/>
                <w:highlight w:val="none"/>
                <w:lang w:val="en-US" w:eastAsia="zh-CN" w:bidi="ar-SA"/>
                <w14:textFill>
                  <w14:solidFill>
                    <w14:schemeClr w14:val="tx1"/>
                  </w14:solidFill>
                </w14:textFill>
              </w:rPr>
              <w:t>5</w:t>
            </w:r>
            <w:r>
              <w:rPr>
                <w:rFonts w:ascii="仿宋" w:hAnsi="仿宋" w:eastAsia="仿宋" w:cs="仿宋"/>
                <w:strike w:val="0"/>
                <w:snapToGrid w:val="0"/>
                <w:color w:val="000000" w:themeColor="text1"/>
                <w:spacing w:val="4"/>
                <w:kern w:val="0"/>
                <w:sz w:val="24"/>
                <w:szCs w:val="24"/>
                <w:highlight w:val="none"/>
                <w:lang w:val="en-US" w:eastAsia="en-US" w:bidi="ar-SA"/>
                <w14:textFill>
                  <w14:solidFill>
                    <w14:schemeClr w14:val="tx1"/>
                  </w14:solidFill>
                </w14:textFill>
              </w:rPr>
              <w:t>分。</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jc w:val="center"/>
        </w:trPr>
        <w:tc>
          <w:tcPr>
            <w:tcW w:w="1739" w:type="dxa"/>
            <w:tcBorders>
              <w:lef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业绩（</w:t>
            </w:r>
            <w:r>
              <w:rPr>
                <w:rFonts w:hint="eastAsia" w:ascii="仿宋" w:hAnsi="仿宋" w:eastAsia="仿宋" w:cs="仿宋"/>
                <w:strike w:val="0"/>
                <w:dstrike w:val="0"/>
                <w:snapToGrid w:val="0"/>
                <w:color w:val="000000" w:themeColor="text1"/>
                <w:spacing w:val="-3"/>
                <w:kern w:val="0"/>
                <w:sz w:val="24"/>
                <w:szCs w:val="24"/>
                <w:highlight w:val="none"/>
                <w:lang w:val="en-US" w:eastAsia="zh-CN" w:bidi="ar-SA"/>
                <w14:textFill>
                  <w14:solidFill>
                    <w14:schemeClr w14:val="tx1"/>
                  </w14:solidFill>
                </w14:textFill>
              </w:rPr>
              <w:t>5</w:t>
            </w: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分）</w:t>
            </w:r>
          </w:p>
        </w:tc>
        <w:tc>
          <w:tcPr>
            <w:tcW w:w="6812" w:type="dxa"/>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供应商需提供自 20</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21</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 xml:space="preserve">年 </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4</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月</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1</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日以来所投同类项目业绩每提供一份</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合同</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（包含：合同全部页）得</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1</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分，最多</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5</w:t>
            </w: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分。（以合同签订日期为准，相应完整合同复印件装订于投标文件中，否则不得分）</w:t>
            </w:r>
            <w:r>
              <w:rPr>
                <w:rFonts w:hint="eastAsia" w:ascii="仿宋" w:hAnsi="仿宋" w:eastAsia="仿宋" w:cs="仿宋"/>
                <w:strike w:val="0"/>
                <w:dstrike w:val="0"/>
                <w:snapToGrid w:val="0"/>
                <w:color w:val="000000" w:themeColor="text1"/>
                <w:spacing w:val="4"/>
                <w:kern w:val="0"/>
                <w:sz w:val="24"/>
                <w:szCs w:val="24"/>
                <w:highlight w:val="none"/>
                <w:lang w:val="en-US" w:eastAsia="zh-CN" w:bidi="ar-SA"/>
                <w14:textFill>
                  <w14:solidFill>
                    <w14:schemeClr w14:val="tx1"/>
                  </w14:solidFill>
                </w14:textFill>
              </w:rPr>
              <w:t>。备注：年度框架合同不予认可。</w:t>
            </w:r>
          </w:p>
        </w:tc>
        <w:tc>
          <w:tcPr>
            <w:tcW w:w="747" w:type="dxa"/>
            <w:tcBorders>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jc w:val="center"/>
        </w:trPr>
        <w:tc>
          <w:tcPr>
            <w:tcW w:w="1739" w:type="dxa"/>
            <w:tcBorders>
              <w:left w:val="single" w:color="000000" w:sz="2" w:space="0"/>
              <w:bottom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合理化建议及</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优惠条款</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center"/>
              <w:textAlignment w:val="baseline"/>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3"/>
                <w:kern w:val="0"/>
                <w:sz w:val="24"/>
                <w:szCs w:val="24"/>
                <w:highlight w:val="none"/>
                <w:lang w:val="en-US" w:eastAsia="en-US" w:bidi="ar-SA"/>
                <w14:textFill>
                  <w14:solidFill>
                    <w14:schemeClr w14:val="tx1"/>
                  </w14:solidFill>
                </w14:textFill>
              </w:rPr>
              <w:t>（2 分）</w:t>
            </w:r>
          </w:p>
        </w:tc>
        <w:tc>
          <w:tcPr>
            <w:tcW w:w="6812" w:type="dxa"/>
            <w:tcBorders>
              <w:bottom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供应商针对本项目的合理化建议以及优惠条款情况进行评审，</w:t>
            </w:r>
          </w:p>
          <w:p>
            <w:pPr>
              <w:keepNext w:val="0"/>
              <w:keepLines w:val="0"/>
              <w:pageBreakBefore w:val="0"/>
              <w:kinsoku w:val="0"/>
              <w:wordWrap/>
              <w:overflowPunct/>
              <w:topLinePunct w:val="0"/>
              <w:autoSpaceDE w:val="0"/>
              <w:autoSpaceDN w:val="0"/>
              <w:bidi w:val="0"/>
              <w:adjustRightInd w:val="0"/>
              <w:snapToGrid w:val="0"/>
              <w:spacing w:line="240" w:lineRule="exact"/>
              <w:ind w:left="0" w:right="0" w:firstLine="0"/>
              <w:jc w:val="left"/>
              <w:textAlignment w:val="baseline"/>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pPr>
            <w:r>
              <w:rPr>
                <w:rFonts w:ascii="仿宋" w:hAnsi="仿宋" w:eastAsia="仿宋" w:cs="仿宋"/>
                <w:strike w:val="0"/>
                <w:dstrike w:val="0"/>
                <w:snapToGrid w:val="0"/>
                <w:color w:val="000000" w:themeColor="text1"/>
                <w:spacing w:val="4"/>
                <w:kern w:val="0"/>
                <w:sz w:val="24"/>
                <w:szCs w:val="24"/>
                <w:highlight w:val="none"/>
                <w:lang w:val="en-US" w:eastAsia="en-US" w:bidi="ar-SA"/>
                <w14:textFill>
                  <w14:solidFill>
                    <w14:schemeClr w14:val="tx1"/>
                  </w14:solidFill>
                </w14:textFill>
              </w:rPr>
              <w:t>经评审委员会认定的，每条得 1 分，满分 2 分。</w:t>
            </w:r>
          </w:p>
        </w:tc>
        <w:tc>
          <w:tcPr>
            <w:tcW w:w="747" w:type="dxa"/>
            <w:tcBorders>
              <w:bottom w:val="single" w:color="000000" w:sz="2" w:space="0"/>
              <w:right w:val="single" w:color="000000" w:sz="2" w:space="0"/>
            </w:tcBorders>
            <w:vAlign w:val="center"/>
          </w:tcPr>
          <w:p>
            <w:pPr>
              <w:keepNext w:val="0"/>
              <w:keepLines w:val="0"/>
              <w:pageBreakBefore w:val="0"/>
              <w:kinsoku w:val="0"/>
              <w:wordWrap/>
              <w:overflowPunct/>
              <w:topLinePunct w:val="0"/>
              <w:autoSpaceDE w:val="0"/>
              <w:autoSpaceDN w:val="0"/>
              <w:bidi w:val="0"/>
              <w:adjustRightInd w:val="0"/>
              <w:snapToGrid w:val="0"/>
              <w:spacing w:line="240" w:lineRule="exact"/>
              <w:ind w:left="0" w:leftChars="0" w:right="0" w:firstLine="0"/>
              <w:jc w:val="center"/>
              <w:textAlignment w:val="baseline"/>
              <w:rPr>
                <w:rFonts w:ascii="仿宋" w:hAnsi="仿宋" w:eastAsia="仿宋" w:cs="仿宋"/>
                <w:snapToGrid w:val="0"/>
                <w:color w:val="000000" w:themeColor="text1"/>
                <w:kern w:val="0"/>
                <w:sz w:val="24"/>
                <w:szCs w:val="24"/>
                <w:highlight w:val="none"/>
                <w:lang w:val="en-US" w:eastAsia="en-US" w:bidi="ar-SA"/>
                <w14:textFill>
                  <w14:solidFill>
                    <w14:schemeClr w14:val="tx1"/>
                  </w14:solidFill>
                </w14:textFill>
              </w:rPr>
            </w:pPr>
          </w:p>
        </w:tc>
      </w:tr>
    </w:tbl>
    <w:p>
      <w:pPr>
        <w:pStyle w:val="6"/>
        <w:rPr>
          <w:rFonts w:hint="default" w:ascii="仿宋" w:hAnsi="仿宋" w:eastAsia="仿宋" w:cs="仿宋"/>
          <w:color w:val="000000" w:themeColor="text1"/>
          <w:sz w:val="32"/>
          <w:szCs w:val="32"/>
          <w:highlight w:val="none"/>
          <w:vertAlign w:val="baseline"/>
          <w:lang w:val="en-US" w:eastAsia="zh-CN"/>
          <w14:textFill>
            <w14:solidFill>
              <w14:schemeClr w14:val="tx1"/>
            </w14:solidFill>
          </w14:textFill>
        </w:rPr>
      </w:pPr>
    </w:p>
    <w:p>
      <w:pP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br w:type="page"/>
      </w:r>
    </w:p>
    <w:p>
      <w:pPr>
        <w:pStyle w:val="4"/>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附件5：采购需求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305" w:firstLine="0" w:firstLineChars="0"/>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一、</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概况</w:t>
      </w:r>
    </w:p>
    <w:p>
      <w:pPr>
        <w:keepNext w:val="0"/>
        <w:keepLines w:val="0"/>
        <w:pageBreakBefore w:val="0"/>
        <w:widowControl w:val="0"/>
        <w:kinsoku/>
        <w:wordWrap/>
        <w:overflowPunct/>
        <w:topLinePunct w:val="0"/>
        <w:autoSpaceDE/>
        <w:autoSpaceDN/>
        <w:bidi w:val="0"/>
        <w:adjustRightInd/>
        <w:snapToGrid/>
        <w:spacing w:line="500" w:lineRule="exact"/>
        <w:ind w:left="1480" w:leftChars="400" w:hanging="640" w:hanging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为保障山东省第二康复医院住院楼中央空调系统能正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常运转，降低设备故障率，现招标采购1家维保服务单位，对中央空调系统进行计划保养工作，维保服务单位在工作实施过程中，如遇设备更换配件，需经采购人同意后，单价200元及以下配件，费用由维保单位承担；单价200元以上的配件，维保单位按照之前双方确定的报价采购配件进行更换，最终价格双方签字确认，配件费用由采购人承担，维保单位进行免费更换。</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640" w:leftChars="305" w:firstLine="0" w:firstLineChars="0"/>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采购内容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住院楼中央</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空调系统维保服务</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640" w:leftChars="305" w:firstLine="0" w:firstLineChars="0"/>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服务内容及要求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305"/>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1.标准要求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达到国家要求的相关标准，</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包含但不限于以下内容：《制冷空调作业安全技术规范》AQ7004-2007</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default" w:ascii="仿宋" w:hAnsi="仿宋" w:eastAsia="仿宋" w:cs="仿宋"/>
          <w:color w:val="000000" w:themeColor="text1"/>
          <w:kern w:val="0"/>
          <w:sz w:val="32"/>
          <w:szCs w:val="32"/>
          <w:highlight w:val="none"/>
          <w:lang w:val="en-US" w:eastAsia="zh-CN"/>
          <w14:textFill>
            <w14:solidFill>
              <w14:schemeClr w14:val="tx1"/>
            </w14:solidFill>
          </w14:textFill>
        </w:rPr>
        <w:t xml:space="preserve">《空调通风系统清 </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洗规范》GB19210-2003、《公共场所集中空调通风系统清洗消毒规范》WS/T396-2012、《医院中央空调系统运行管理》WS 488-2016、《公共场所集中空调通风系统卫生规范》WS 394-2012。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305" w:firstLine="0" w:firstLineChars="0"/>
        <w:jc w:val="both"/>
        <w:textAlignment w:val="auto"/>
        <w:rPr>
          <w:rFonts w:hint="default" w:ascii="仿宋" w:hAnsi="仿宋" w:eastAsia="仿宋" w:cs="仿宋"/>
          <w:b/>
          <w:bCs/>
          <w:color w:val="000000" w:themeColor="text1"/>
          <w:kern w:val="0"/>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bidi="ar-SA"/>
          <w14:textFill>
            <w14:solidFill>
              <w14:schemeClr w14:val="tx1"/>
            </w14:solidFill>
          </w14:textFill>
        </w:rPr>
        <w:t>2.维保内容及要求（包括但不限于以下内容）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zh-CN" w:eastAsia="zh-CN"/>
          <w14:textFill>
            <w14:solidFill>
              <w14:schemeClr w14:val="tx1"/>
            </w14:solidFill>
          </w14:textFill>
        </w:rPr>
        <w:t>维保范围：综合病房楼多联机空调及配套其他通风设施（排风设备、新风设备）。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5"/>
        <w:textAlignment w:val="auto"/>
        <w:rPr>
          <w:rFonts w:hint="default" w:ascii="仿宋" w:hAnsi="仿宋" w:eastAsia="仿宋" w:cs="仿宋"/>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5"/>
        <w:textAlignment w:val="auto"/>
        <w:rPr>
          <w:rFonts w:hint="default" w:ascii="仿宋" w:hAnsi="仿宋" w:eastAsia="仿宋" w:cs="仿宋"/>
          <w:b/>
          <w:bCs/>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305"/>
        <w:textAlignment w:val="auto"/>
        <w:rPr>
          <w:rFonts w:hint="default" w:ascii="仿宋" w:hAnsi="仿宋" w:eastAsia="仿宋" w:cs="仿宋"/>
          <w:b/>
          <w:bCs/>
          <w:color w:val="000000" w:themeColor="text1"/>
          <w:kern w:val="2"/>
          <w:sz w:val="32"/>
          <w:szCs w:val="32"/>
          <w:highlight w:val="none"/>
          <w:lang w:val="en-US" w:eastAsia="zh-CN" w:bidi="ar-SA"/>
          <w14:textFill>
            <w14:solidFill>
              <w14:schemeClr w14:val="tx1"/>
            </w14:solidFill>
          </w14:textFill>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5121"/>
        <w:gridCol w:w="84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t>事项</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t>内容</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t>维保周期</w:t>
            </w: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电气及控制部分</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b/>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检查电压、电流数值及相差，确认电源线的安全性，检查电流保护器是否正常，检查高、低压保护开关是否正常，检查油加热器、温感器是否正常。</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压缩机部分</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检查压缩机的噪音及振动是否正常，检查润滑系统，必要时添加或更换以保证压缩机安全运行。</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热交换器部分</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检查风侧热交换器的流量是否正常，检查冷媒管的温度，检查保温部分是否破损，如有破损即时更换及包扎。</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室内、外机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清洗</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每次换季空调设备投入使用前对每台空调设备室内机的过滤网、出风口进行清洗以防止霉菌滋生，确保空气清新、健康。</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每年2次</w:t>
            </w: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69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pP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采用高效空调铝箔翅片清洗液清洗空调设备室外机冷凝器，以便清洗污垢及尘土，有利于改善空调设备室外机换热效果。</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每年至少2次</w:t>
            </w: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系统运转测试</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进行单台室内机试运行测试和多台室内机同时试运转测试。</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6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冷媒系统检测及补充</w:t>
            </w:r>
          </w:p>
        </w:tc>
        <w:tc>
          <w:tcPr>
            <w:tcW w:w="51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pPr>
            <w:r>
              <w:rPr>
                <w:rFonts w:hint="eastAsia" w:ascii="仿宋" w:hAnsi="仿宋" w:eastAsia="仿宋" w:cs="仿宋"/>
                <w:b w:val="0"/>
                <w:bCs w:val="0"/>
                <w:color w:val="000000" w:themeColor="text1"/>
                <w:kern w:val="2"/>
                <w:sz w:val="24"/>
                <w:szCs w:val="24"/>
                <w:highlight w:val="none"/>
                <w:vertAlign w:val="baseline"/>
                <w:lang w:val="zh-CN" w:eastAsia="zh-CN" w:bidi="ar-SA"/>
                <w14:textFill>
                  <w14:solidFill>
                    <w14:schemeClr w14:val="tx1"/>
                  </w14:solidFill>
                </w14:textFill>
              </w:rPr>
              <w:t>检查空调系统冷媒高、低压是否正常，是否有氟利昂渗漏，必要时进行氟利昂补充及重新抽真空定量补充。</w:t>
            </w:r>
          </w:p>
        </w:tc>
        <w:tc>
          <w:tcPr>
            <w:tcW w:w="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c>
          <w:tcPr>
            <w:tcW w:w="62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b w:val="0"/>
                <w:bCs w:val="0"/>
                <w:color w:val="000000" w:themeColor="text1"/>
                <w:kern w:val="2"/>
                <w:sz w:val="24"/>
                <w:szCs w:val="24"/>
                <w:highlight w:val="none"/>
                <w:vertAlign w:val="baseline"/>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3.工作要求及责任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（1）清洗、保养时维保方要对设备的运行参数详细记录并归档。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（2）维保单位需将维保检查情况记录（重点及关键部件需划出示意图），并交付采购人签字确认。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（3）维保单位所提供零部件为空调生产厂家提供的原厂产品。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（4）维保单位在合同期限内为采购方提供免费的人工服务。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（5）维保单位在维保期限内提供7*24小时响应服务，承包商接到采购人报修电话后应在120分钟以内到达现场处理故障。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（6）维保期内的设备部件如发生故障需要更换时， 承包商应按原厂原品牌最低价格向采购人进行报价更换（所提供设备、材料如有承包商提供，承包商必须负责零配件及材料为原厂件、空调主机等需提供设备厂家上门安装、调试服务，并对常用的设备、材料进行备货，常规零部件损坏需要更换时，要求2天内更换维修解决，压缩机、运行管路等较大故障更换时，要求3天内更换维修解决）以采购人审核为准（先进行维修更换，费用另行结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（7）以上未明确事项一切以采购人规定为准，本文所述要求，应视为保证涉及运行所需的最低要求，如有遗漏投标人应予补充，否则一旦中标将视为投标人认同遗漏部分并免费提供。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（8）成交维保单位签订合同前需提供空调主机的原厂家供货协议或厂家授权。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color w:val="000000" w:themeColor="text1"/>
          <w:kern w:val="0"/>
          <w:sz w:val="32"/>
          <w:szCs w:val="32"/>
          <w:highlight w:val="none"/>
          <w:lang w:val="zh-CN"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9）维保单位同时也承担维保过程中维保人员出现的安全事故、意外事故、人身伤害等责任；因维保施工不及时等原因造成医院的安全事故、设备损坏、财产损失、及第三者的人身和财产损失等问题，均有中标维保单位承担全部法律责任、经济责任，并负责处理相关事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default" w:ascii="仿宋" w:hAnsi="仿宋" w:eastAsia="仿宋" w:cs="仿宋"/>
          <w:b/>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4.其他要求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 w:hAnsi="仿宋" w:eastAsia="仿宋" w:cs="仿宋"/>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kern w:val="0"/>
          <w:sz w:val="32"/>
          <w:szCs w:val="32"/>
          <w:highlight w:val="none"/>
          <w:lang w:val="en-US" w:eastAsia="zh-CN"/>
          <w14:textFill>
            <w14:solidFill>
              <w14:schemeClr w14:val="tx1"/>
            </w14:solidFill>
          </w14:textFill>
        </w:rPr>
        <w:t>服务期限：</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自签订合同起三年，每年度根据维保单位服务情况进行综合评价，双方无异议可进行续签1年，否则，采购人有权随时终止合同。</w:t>
      </w:r>
    </w:p>
    <w:p>
      <w:pPr>
        <w:keepNext w:val="0"/>
        <w:keepLines w:val="0"/>
        <w:pageBreakBefore w:val="0"/>
        <w:widowControl w:val="0"/>
        <w:kinsoku/>
        <w:wordWrap/>
        <w:overflowPunct/>
        <w:topLinePunct w:val="0"/>
        <w:autoSpaceDE/>
        <w:autoSpaceDN/>
        <w:bidi w:val="0"/>
        <w:adjustRightInd/>
        <w:snapToGrid/>
        <w:spacing w:line="500" w:lineRule="exact"/>
        <w:ind w:left="640" w:leftChars="305" w:firstLine="0" w:firstLineChars="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付款方式及周期：</w:t>
      </w:r>
    </w:p>
    <w:p>
      <w:pPr>
        <w:keepNext w:val="0"/>
        <w:keepLines w:val="0"/>
        <w:pageBreakBefore w:val="0"/>
        <w:widowControl w:val="0"/>
        <w:kinsoku/>
        <w:wordWrap/>
        <w:overflowPunct/>
        <w:topLinePunct w:val="0"/>
        <w:autoSpaceDE/>
        <w:autoSpaceDN/>
        <w:bidi w:val="0"/>
        <w:adjustRightInd/>
        <w:snapToGrid/>
        <w:spacing w:line="500" w:lineRule="exact"/>
        <w:ind w:left="640" w:leftChars="305" w:firstLine="0" w:firstLineChars="0"/>
        <w:textAlignment w:val="auto"/>
        <w:rPr>
          <w:rFonts w:hint="default"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维保单位按照维保工作实际发生金额开具合格的发票，采购人按照发票金额进行</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付款，自双方合同签订之日起每</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6个月向维保单位支付一次款项</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w:t>
      </w:r>
    </w:p>
    <w:p>
      <w:pPr>
        <w:pStyle w:val="6"/>
        <w:rPr>
          <w:rFonts w:hint="default" w:ascii="仿宋" w:hAnsi="仿宋" w:eastAsia="仿宋" w:cs="仿宋"/>
          <w:color w:val="000000" w:themeColor="text1"/>
          <w:sz w:val="32"/>
          <w:szCs w:val="32"/>
          <w:highlight w:val="none"/>
          <w:vertAlign w:val="baseline"/>
          <w:lang w:val="en-US" w:eastAsia="zh-CN"/>
          <w14:textFill>
            <w14:solidFill>
              <w14:schemeClr w14:val="tx1"/>
            </w14:solidFill>
          </w14:textFill>
        </w:rPr>
      </w:pPr>
    </w:p>
    <w:p>
      <w:pPr>
        <w:pStyle w:val="6"/>
        <w:rPr>
          <w:rFonts w:hint="default" w:ascii="仿宋" w:hAnsi="仿宋" w:eastAsia="仿宋" w:cs="仿宋"/>
          <w:sz w:val="32"/>
          <w:szCs w:val="32"/>
          <w:highlight w:val="none"/>
          <w:vertAlign w:val="baseline"/>
          <w:lang w:val="en-US" w:eastAsia="zh-CN"/>
        </w:rPr>
      </w:pPr>
      <w:bookmarkStart w:id="0" w:name="_GoBack"/>
      <w:bookmarkEnd w:id="0"/>
    </w:p>
    <w:sectPr>
      <w:pgSz w:w="11906" w:h="16838"/>
      <w:pgMar w:top="127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8597C"/>
    <w:multiLevelType w:val="singleLevel"/>
    <w:tmpl w:val="8598597C"/>
    <w:lvl w:ilvl="0" w:tentative="0">
      <w:start w:val="1"/>
      <w:numFmt w:val="decimal"/>
      <w:lvlText w:val="%1."/>
      <w:lvlJc w:val="left"/>
      <w:pPr>
        <w:tabs>
          <w:tab w:val="left" w:pos="312"/>
        </w:tabs>
      </w:pPr>
    </w:lvl>
  </w:abstractNum>
  <w:abstractNum w:abstractNumId="1">
    <w:nsid w:val="C2B04DB4"/>
    <w:multiLevelType w:val="singleLevel"/>
    <w:tmpl w:val="C2B04DB4"/>
    <w:lvl w:ilvl="0" w:tentative="0">
      <w:start w:val="2"/>
      <w:numFmt w:val="chineseCounting"/>
      <w:suff w:val="nothing"/>
      <w:lvlText w:val="%1、"/>
      <w:lvlJc w:val="left"/>
      <w:rPr>
        <w:rFonts w:hint="eastAsia"/>
      </w:rPr>
    </w:lvl>
  </w:abstractNum>
  <w:abstractNum w:abstractNumId="2">
    <w:nsid w:val="5FF4F4EE"/>
    <w:multiLevelType w:val="singleLevel"/>
    <w:tmpl w:val="5FF4F4EE"/>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1D4D0919"/>
    <w:rsid w:val="00C209B7"/>
    <w:rsid w:val="030D1D7A"/>
    <w:rsid w:val="135275A3"/>
    <w:rsid w:val="1D4D0919"/>
    <w:rsid w:val="27851016"/>
    <w:rsid w:val="290E7995"/>
    <w:rsid w:val="31B86D53"/>
    <w:rsid w:val="321018C9"/>
    <w:rsid w:val="35A14944"/>
    <w:rsid w:val="36865841"/>
    <w:rsid w:val="385361F9"/>
    <w:rsid w:val="3BD00387"/>
    <w:rsid w:val="3C003CFD"/>
    <w:rsid w:val="3D1706AE"/>
    <w:rsid w:val="3FC96286"/>
    <w:rsid w:val="4670640B"/>
    <w:rsid w:val="4A5E5D9E"/>
    <w:rsid w:val="4DC63E1D"/>
    <w:rsid w:val="52EE4462"/>
    <w:rsid w:val="566C1FFD"/>
    <w:rsid w:val="5C9D2F32"/>
    <w:rsid w:val="65636BE4"/>
    <w:rsid w:val="6598383A"/>
    <w:rsid w:val="6CAC3515"/>
    <w:rsid w:val="758B0495"/>
    <w:rsid w:val="76AE38F0"/>
    <w:rsid w:val="794D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qFormat/>
    <w:uiPriority w:val="99"/>
    <w:pPr>
      <w:keepNext/>
      <w:keepLines/>
      <w:spacing w:before="280" w:after="290" w:line="376" w:lineRule="auto"/>
      <w:outlineLvl w:val="3"/>
    </w:pPr>
    <w:rPr>
      <w:rFonts w:ascii="Cambria" w:hAnsi="Cambria"/>
      <w:b/>
      <w:bCs/>
      <w:kern w:val="0"/>
      <w:sz w:val="28"/>
      <w:szCs w:val="28"/>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1"/>
    <w:autoRedefine/>
    <w:unhideWhenUsed/>
    <w:qFormat/>
    <w:uiPriority w:val="99"/>
    <w:pPr>
      <w:spacing w:after="120"/>
    </w:pPr>
    <w:rPr>
      <w:rFonts w:eastAsia="Times New Roman"/>
    </w:rPr>
  </w:style>
  <w:style w:type="paragraph" w:styleId="5">
    <w:name w:val="Body Text Indent"/>
    <w:basedOn w:val="1"/>
    <w:next w:val="1"/>
    <w:autoRedefine/>
    <w:qFormat/>
    <w:uiPriority w:val="0"/>
    <w:pPr>
      <w:spacing w:line="500" w:lineRule="exact"/>
      <w:ind w:left="1588" w:leftChars="832" w:firstLine="433" w:firstLineChars="196"/>
    </w:pPr>
    <w:rPr>
      <w:rFonts w:ascii="Times New Roman" w:hAnsi="Times New Roman" w:eastAsia="宋体" w:cs="Times New Roman"/>
      <w:kern w:val="2"/>
      <w:sz w:val="24"/>
    </w:rPr>
  </w:style>
  <w:style w:type="paragraph" w:styleId="6">
    <w:name w:val="Plain Text"/>
    <w:basedOn w:val="1"/>
    <w:autoRedefine/>
    <w:qFormat/>
    <w:uiPriority w:val="0"/>
    <w:rPr>
      <w:rFonts w:ascii="宋体" w:hAnsi="Courier New"/>
      <w:szCs w:val="20"/>
    </w:rPr>
  </w:style>
  <w:style w:type="paragraph" w:styleId="7">
    <w:name w:val="toc 2"/>
    <w:basedOn w:val="1"/>
    <w:next w:val="1"/>
    <w:qFormat/>
    <w:uiPriority w:val="39"/>
    <w:pPr>
      <w:spacing w:line="360" w:lineRule="auto"/>
      <w:ind w:left="210"/>
      <w:jc w:val="left"/>
    </w:pPr>
    <w:rPr>
      <w:rFonts w:ascii="Calibri" w:hAnsi="Calibri" w:eastAsia="宋体" w:cs="Times New Roman"/>
      <w:smallCaps/>
      <w:sz w:val="28"/>
      <w:szCs w:val="20"/>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next w:val="1"/>
    <w:autoRedefine/>
    <w:qFormat/>
    <w:uiPriority w:val="0"/>
    <w:pPr>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table" w:customStyle="1" w:styleId="14">
    <w:name w:val="Table Normal"/>
    <w:autoRedefine/>
    <w:semiHidden/>
    <w:unhideWhenUsed/>
    <w:qFormat/>
    <w:uiPriority w:val="0"/>
    <w:tblPr>
      <w:tblCellMar>
        <w:top w:w="0" w:type="dxa"/>
        <w:left w:w="0" w:type="dxa"/>
        <w:bottom w:w="0" w:type="dxa"/>
        <w:right w:w="0" w:type="dxa"/>
      </w:tblCellMar>
    </w:tblPr>
  </w:style>
  <w:style w:type="character" w:customStyle="1" w:styleId="15">
    <w:name w:val="font21"/>
    <w:basedOn w:val="12"/>
    <w:autoRedefine/>
    <w:qFormat/>
    <w:uiPriority w:val="0"/>
    <w:rPr>
      <w:rFonts w:ascii="仿宋" w:hAnsi="仿宋" w:eastAsia="仿宋" w:cs="仿宋"/>
      <w:b/>
      <w:bCs/>
      <w:color w:val="000000"/>
      <w:sz w:val="32"/>
      <w:szCs w:val="32"/>
      <w:u w:val="none"/>
    </w:rPr>
  </w:style>
  <w:style w:type="character" w:customStyle="1" w:styleId="16">
    <w:name w:val="font31"/>
    <w:basedOn w:val="12"/>
    <w:autoRedefine/>
    <w:qFormat/>
    <w:uiPriority w:val="0"/>
    <w:rPr>
      <w:rFonts w:ascii="宋体" w:hAnsi="宋体" w:eastAsia="宋体" w:cs="宋体"/>
      <w:b/>
      <w:bCs/>
      <w:color w:val="000000"/>
      <w:sz w:val="32"/>
      <w:szCs w:val="32"/>
      <w:u w:val="none"/>
    </w:rPr>
  </w:style>
  <w:style w:type="character" w:customStyle="1" w:styleId="17">
    <w:name w:val="font41"/>
    <w:basedOn w:val="12"/>
    <w:autoRedefine/>
    <w:qFormat/>
    <w:uiPriority w:val="0"/>
    <w:rPr>
      <w:rFonts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3071</Words>
  <Characters>3784</Characters>
  <Lines>0</Lines>
  <Paragraphs>0</Paragraphs>
  <TotalTime>0</TotalTime>
  <ScaleCrop>false</ScaleCrop>
  <LinksUpToDate>false</LinksUpToDate>
  <CharactersWithSpaces>3981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2023-08-04T02:40:00Z</dcterms:created>
  <dc:creator>依心而行</dc:creator>
  <cp:lastModifiedBy>依心而行</cp:lastModifiedBy>
  <dcterms:modified xsi:type="dcterms:W3CDTF">2024-04-11T03:30:41Z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D86824A4F7CF4499BB00AD9B66E84424_13</vt:lpwstr>
  </property>
</Properties>
</file>