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附件1：报名表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p>
      <w:pPr>
        <w:pStyle w:val="5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5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项目名称：山东省第二康复医院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沿街房餐厅修缮改造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</w:t>
      </w:r>
    </w:p>
    <w:p>
      <w:pPr>
        <w:pStyle w:val="5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项目编号：SEK2024010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3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3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3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63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3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单位名称（公章）：</w:t>
      </w: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日期：       年     月   日</w:t>
      </w:r>
    </w:p>
    <w:p>
      <w:pPr>
        <w:pStyle w:val="4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附件2：响应文件要求</w:t>
      </w:r>
    </w:p>
    <w:p>
      <w:pPr>
        <w:pStyle w:val="5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内容要求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1.营业执照副本（复印件加盖公章）及相关资质证明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报价单（见附件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）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3.法定代表人授权委托书，如法定代表人参加报价，提供法定代表人证明或身份证（复印件加盖公章）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4.近三年内，在经营活动中没有重大违法记录的声明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5.供应商认为应当提供的其他材料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根据评分标准编制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附件3：工程量清单</w:t>
      </w:r>
    </w:p>
    <w:tbl>
      <w:tblPr>
        <w:tblStyle w:val="9"/>
        <w:tblpPr w:leftFromText="180" w:rightFromText="180" w:vertAnchor="text" w:horzAnchor="page" w:tblpXSpec="center" w:tblpY="613"/>
        <w:tblOverlap w:val="never"/>
        <w:tblW w:w="9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488"/>
        <w:gridCol w:w="914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项目特征</w:t>
            </w:r>
          </w:p>
        </w:tc>
        <w:tc>
          <w:tcPr>
            <w:tcW w:w="6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工程数量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装修部分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墙面喷刷涂料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1.喷刷涂料部位:内墙面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2.腻子种类:腻子两遍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3.涂料品种、喷刷遍数:乳胶漆两遍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石膏板封及饰面墙板洞口封堵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1.龙骨材料种类、规格、中距:75＃轻钢龙骨满足使用要求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2.基层材料种类、规格:石膏板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吊顶天棚：PVC吊顶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1.龙骨材料种类、规格、中距:50系列轻钢龙骨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2.面层材料品种、规格:PVC板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块料楼地面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1.30厚1:3干硬性水泥砂浆结合层;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2.素水泥砂浆一道;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3.面砖规格:800*800地砖                 4.含瓷砖美缝不单列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块料楼墙面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1.30厚1:3干硬性水泥砂浆结合层;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2.素水泥砂浆一道;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3.面砖规格:300*600/400*800地砖    4.含瓷砖美缝不单列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吊顶天棚：矿棉板吊顶子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1.龙骨材料种类、规格、中距:专用龙骨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2.面层材料品种、规格:600*600矿棉板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木质门带套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1.门扇类型、规格:成品套装木门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2.备注:门套综合考虑报价中，含购买、运输、安装、预埋件、五金，等工作内容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樘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抹灰面油漆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1.基层类型:踢脚线刷漆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2.刮腻子遍数:腻子打磨找平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3.油漆品种、刷漆遍数:踢脚线油漆粉刷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全玻自由门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1.规格:无框玻璃自由门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2.材料规格：采用10㎜钢化玻璃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3.说明:含购买、运输、安装、预埋件、五金配件等所有工作内容，满足施工验收规范的要求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原混凝土洞口修补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1.基层类型:原混凝土洞口修补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2.抹灰厚度、材料种类:植筋、C30混凝土浇筑、含模板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轻钢龙骨石膏板封门上梁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1.龙骨材料种类、规格、中距:75＃轻钢龙骨满足使用要求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2.基层材料种类、规格:石膏板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3.含乳胶漆粉刷不单列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螺纹阀门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1.类型:水嘴安装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2.规格、压力等级:DN20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3.连接形式:螺纹连接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给、排水附(配)件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1.材质:不锈钢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2.型号、规格:不锈钢地漏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原地面破损瓷砖拆除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1.人工拆除地面瓷砖面层及水泥砂浆结合层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2.建筑垃圾清理装车综合考虑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木门窗拆除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1.原木门拆除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2.拆除后建筑垃圾集中堆放清运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樘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天棚面龙骨及饰面拆除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1.部位:600*600矿棉板顶子拆除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2.工作内容:拆除龙骨、面层, 废渣废料清理归堆清运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金属（塑钢、断桥）窗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1.窗代号及洞口尺寸:55系列断桥铝合金推拉窗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2.采用5㎜+12㎜+5㎜中空玻理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3.说明:含购买、运输、安装、预埋件、五金配件等所有工作内容，满足施工验收规范的要求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洞口加固                         1.10＃工字钢                       2.植筋螺栓                         3.型材进行防腐处理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砖切体（门口台阶改造）</w:t>
            </w:r>
          </w:p>
          <w:p>
            <w:pPr>
              <w:pStyle w:val="1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砌筑材料：煤矸石烧结砖240*115*53</w:t>
            </w:r>
          </w:p>
          <w:p>
            <w:pPr>
              <w:pStyle w:val="1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砂浆：1:2.5水泥砂浆</w:t>
            </w:r>
          </w:p>
          <w:p>
            <w:pPr>
              <w:pStyle w:val="1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抹灰：2㎝厚1:2水泥砂浆磨平哑光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立方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安装部分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1.名称:室内总配电箱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1.名称:室内二级配电箱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1.名称：室内电锅配电箱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1.名称：空调终端配电箱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电力电缆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1.型号、规格:WDZCYJV22 4*70+50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2.敷设方式:穿管敷设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3.备注:含电缆头制安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普通灯具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1.名称:LED平板灯600*600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2.安装方式:吸顶安装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普通灯具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1.名称:LED吸顶灯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2.型号规格：30W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3.安装方式:吸顶安装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普通灯具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1.名称:轨道射灯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2.型号规格：30W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3.安装方式:含轨道安装不单列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配线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1.名称:铜芯线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2.型号:BV6mm2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3.配线部位:管内穿线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29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配线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1.名称:铜芯线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2.型号:BV4 mm2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3.配线部位:管内穿线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配线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1.名称:铜芯线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2.型号:BV2.5 mm2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3.配线部位:管内穿线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插座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1.名称:五孔插座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2.规格:250V/10A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3.安装方式:暗装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照明开关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1.名称:单联单控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2.规格:250V/10A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3.安装方式:暗装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塑料管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1.安装部位:室内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2.介质:自来水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3.材质、规格:(PP-R)管De20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4.连接形式:热熔连接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配管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1.名称:穿线管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2.规格:PVC20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3.配置形式:暗敷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桥架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1.名称:100*100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配管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1.名称:穿线管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2.规格:PVC75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3.配置形式:明配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提升机（暂定价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6000元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default"/>
          <w:sz w:val="24"/>
          <w:szCs w:val="24"/>
        </w:rPr>
        <w:t>其他要求：</w:t>
      </w: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default"/>
          <w:sz w:val="24"/>
          <w:szCs w:val="24"/>
        </w:rPr>
        <w:t>1、因特殊情况（如冬、雨季、恶劣天气等）下的施工费用增加，清单不单独列项，费用综合考虑在报价内；</w:t>
      </w: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eastAsia" w:eastAsia="宋体"/>
          <w:sz w:val="24"/>
          <w:szCs w:val="24"/>
          <w:lang w:val="en-US" w:eastAsia="zh-CN"/>
        </w:rPr>
        <w:t>2</w:t>
      </w:r>
      <w:r>
        <w:rPr>
          <w:rStyle w:val="12"/>
          <w:rFonts w:hint="default"/>
          <w:sz w:val="24"/>
          <w:szCs w:val="24"/>
        </w:rPr>
        <w:t>、供应商自行综合考虑施工过程中现有建筑物构筑物的保护，如有损坏，需无偿修复至原样并承担相应相应法律责任；</w:t>
      </w: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eastAsia" w:eastAsia="宋体"/>
          <w:sz w:val="24"/>
          <w:szCs w:val="24"/>
          <w:lang w:val="en-US" w:eastAsia="zh-CN"/>
        </w:rPr>
        <w:t>3</w:t>
      </w:r>
      <w:r>
        <w:rPr>
          <w:rStyle w:val="12"/>
          <w:rFonts w:hint="default"/>
          <w:sz w:val="24"/>
          <w:szCs w:val="24"/>
        </w:rPr>
        <w:t>、清单描述中其余未提及因素，供应商自行综合考虑到报价中。</w:t>
      </w: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eastAsia" w:eastAsia="宋体"/>
          <w:sz w:val="24"/>
          <w:szCs w:val="24"/>
          <w:lang w:val="en-US" w:eastAsia="zh-CN"/>
        </w:rPr>
        <w:t>4</w:t>
      </w:r>
      <w:r>
        <w:rPr>
          <w:rStyle w:val="12"/>
          <w:rFonts w:hint="default"/>
          <w:sz w:val="24"/>
          <w:szCs w:val="24"/>
        </w:rPr>
        <w:t xml:space="preserve">、本工程按国家有关法规、技术规范和安全要求进行施工，文明作业。 </w:t>
      </w: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eastAsia" w:eastAsia="宋体"/>
          <w:sz w:val="24"/>
          <w:szCs w:val="24"/>
          <w:lang w:val="en-US" w:eastAsia="zh-CN"/>
        </w:rPr>
        <w:t>5</w:t>
      </w:r>
      <w:r>
        <w:rPr>
          <w:rStyle w:val="12"/>
          <w:rFonts w:hint="default"/>
          <w:sz w:val="24"/>
          <w:szCs w:val="24"/>
        </w:rPr>
        <w:t xml:space="preserve">、施工过程中做好其他物品的防护，如有损坏，照价赔偿。及时对施工现场进行卫生 清扫，及时清理施工中产生的垃圾。 </w:t>
      </w:r>
    </w:p>
    <w:p>
      <w:pPr>
        <w:spacing w:line="360" w:lineRule="auto"/>
        <w:ind w:firstLine="480" w:firstLineChars="200"/>
        <w:rPr>
          <w:rStyle w:val="12"/>
          <w:rFonts w:hint="default"/>
          <w:sz w:val="24"/>
          <w:szCs w:val="24"/>
        </w:rPr>
      </w:pPr>
      <w:r>
        <w:rPr>
          <w:rStyle w:val="12"/>
          <w:rFonts w:hint="eastAsia" w:eastAsia="宋体"/>
          <w:sz w:val="24"/>
          <w:szCs w:val="24"/>
          <w:lang w:val="en-US" w:eastAsia="zh-CN"/>
        </w:rPr>
        <w:t>6</w:t>
      </w:r>
      <w:r>
        <w:rPr>
          <w:rStyle w:val="12"/>
          <w:rFonts w:hint="default"/>
          <w:sz w:val="24"/>
          <w:szCs w:val="24"/>
        </w:rPr>
        <w:t>、施工中必须配专职负责人；有健全的施工管理制度和安全管理措施，确保施工安全。施工中发生一切安全事故均由成交供应商负责。施工中必须服从采购人的管理和协调。如施工需报批相关手续均由成交供应商负责，包括所产生的费用。供应商不得擅自更换项目经理。</w:t>
      </w:r>
    </w:p>
    <w:p>
      <w:pPr>
        <w:rPr>
          <w:rStyle w:val="12"/>
          <w:rFonts w:hint="default"/>
          <w:sz w:val="24"/>
          <w:szCs w:val="24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br w:type="page"/>
      </w:r>
    </w:p>
    <w:p>
      <w:pPr>
        <w:pStyle w:val="5"/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附件4：报价单</w:t>
      </w:r>
    </w:p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报价单</w:t>
      </w:r>
    </w:p>
    <w:p>
      <w:pPr>
        <w:pStyle w:val="5"/>
        <w:rPr>
          <w:rFonts w:ascii="仿宋" w:hAnsi="仿宋" w:eastAsia="仿宋" w:cs="仿宋"/>
          <w:sz w:val="22"/>
          <w:szCs w:val="22"/>
        </w:rPr>
      </w:pPr>
    </w:p>
    <w:tbl>
      <w:tblPr>
        <w:tblStyle w:val="9"/>
        <w:tblW w:w="89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96"/>
        <w:gridCol w:w="4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报价(单价：元)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山东省第二康复医院餐厅改造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 写 ：</w:t>
            </w:r>
          </w:p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 写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工期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质保期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质量标准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5"/>
        <w:ind w:left="1280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注：（1）提交报价单视同响应院内采购项目需求公示中所有要求。</w:t>
      </w:r>
    </w:p>
    <w:p>
      <w:pPr>
        <w:pStyle w:val="5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（2）供应商所报价格为含税全包价。</w:t>
      </w:r>
    </w:p>
    <w:p>
      <w:pPr>
        <w:pStyle w:val="5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（3）报价不得高于预算控制价。</w:t>
      </w:r>
    </w:p>
    <w:p>
      <w:pPr>
        <w:pStyle w:val="5"/>
        <w:ind w:left="1280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（4）因参与本项目产生的人工、印刷、差旅等费用由供应商承担。</w:t>
      </w:r>
    </w:p>
    <w:p>
      <w:pPr>
        <w:pStyle w:val="5"/>
        <w:ind w:left="1280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单位全称：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签字： 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年   月   日</w:t>
      </w:r>
    </w:p>
    <w:p>
      <w:pPr>
        <w:pStyle w:val="5"/>
        <w:rPr>
          <w:rFonts w:ascii="仿宋" w:hAnsi="仿宋" w:eastAsia="仿宋" w:cs="仿宋"/>
          <w:sz w:val="32"/>
          <w:szCs w:val="32"/>
        </w:rPr>
      </w:pPr>
    </w:p>
    <w:p>
      <w:pPr>
        <w:pStyle w:val="5"/>
        <w:rPr>
          <w:rFonts w:ascii="仿宋" w:hAnsi="仿宋" w:eastAsia="仿宋" w:cs="仿宋"/>
          <w:sz w:val="32"/>
          <w:szCs w:val="32"/>
        </w:rPr>
      </w:pPr>
    </w:p>
    <w:p>
      <w:pPr>
        <w:pStyle w:val="5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报价明细表</w:t>
      </w:r>
    </w:p>
    <w:tbl>
      <w:tblPr>
        <w:tblStyle w:val="9"/>
        <w:tblpPr w:leftFromText="180" w:rightFromText="180" w:vertAnchor="text" w:horzAnchor="page" w:tblpXSpec="center" w:tblpY="613"/>
        <w:tblOverlap w:val="never"/>
        <w:tblW w:w="89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993"/>
        <w:gridCol w:w="665"/>
        <w:gridCol w:w="1079"/>
        <w:gridCol w:w="1169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项目特征</w:t>
            </w:r>
          </w:p>
        </w:tc>
        <w:tc>
          <w:tcPr>
            <w:tcW w:w="6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工程数量</w:t>
            </w:r>
          </w:p>
        </w:tc>
        <w:tc>
          <w:tcPr>
            <w:tcW w:w="116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全费用综合单价</w:t>
            </w:r>
          </w:p>
        </w:tc>
        <w:tc>
          <w:tcPr>
            <w:tcW w:w="116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装修部分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墙面喷刷涂料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1.喷刷涂料部位:内墙面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2.腻子种类:腻子两遍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3.涂料品种、喷刷遍数:乳胶漆两遍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石膏板封及饰面墙板洞口封堵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1.龙骨材料种类、规格、中距:75＃轻钢龙骨满足使用要求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2.基层材料种类、规格:石膏板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吊顶天棚：PVC吊顶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1.龙骨材料种类、规格、中距:50系列轻钢龙骨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2.面层材料品种、规格:PVC板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29.7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块料楼地面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1.30厚1:3干硬性水泥砂浆结合层;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2.素水泥砂浆一道;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3.面砖规格:800*800地砖                 4.含瓷砖美缝不单列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块料楼墙面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1.30厚1:3干硬性水泥砂浆结合层;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2.素水泥砂浆一道;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3.面砖规格:300*600/400*800地砖    4.含瓷砖美缝不单列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吊顶天棚：矿棉板吊顶子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1.龙骨材料种类、规格、中距:专用龙骨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2.面层材料品种、规格:600*600矿棉板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61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木质门带套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1.门扇类型、规格:成品套装木门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2.备注:门套综合考虑报价中，含购买、运输、安装、预埋件、五金，等工作内容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樘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抹灰面油漆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1.基层类型:踢脚线刷漆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2.刮腻子遍数:腻子打磨找平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3.油漆品种、刷漆遍数:踢脚线油漆粉刷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全玻自由门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1.规格:无框玻璃自由门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2.材料规格：采用10㎜钢化玻璃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3.说明:含购买、运输、安装、预埋件、五金配件等所有工作内容，满足施工验收规范的要求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原混凝土洞口修补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1.基层类型:原混凝土洞口修补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2.抹灰厚度、材料种类:植筋、C30混凝土浇筑、含模板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轻钢龙骨石膏板封门上梁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1.龙骨材料种类、规格、中距:75＃轻钢龙骨满足使用要求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2.基层材料种类、规格:石膏板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3.含乳胶漆粉刷不单列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0.5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螺纹阀门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1.类型:水嘴安装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2.规格、压力等级:DN20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3.连接形式:螺纹连接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给、排水附(配)件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1.材质:不锈钢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2.型号、规格:不锈钢地漏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原地面破损瓷砖拆除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1.人工拆除地面瓷砖面层及水泥砂浆结合层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2.建筑垃圾清理装车综合考虑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61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木门窗拆除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1.原木门拆除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2.拆除后建筑垃圾集中堆放清运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樘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天棚面龙骨及饰面拆除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1.部位:600*600矿棉板顶子拆除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2.工作内容:拆除龙骨、面层, 废渣废料清理归堆清运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金属（塑钢、断桥）窗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1.窗代号及洞口尺寸:55系列断桥铝合金推拉窗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2.采用5㎜+12㎜+5㎜中空玻理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3.说明:含购买、运输、安装、预埋件、五金配件等所有工作内容，满足施工验收规范的要求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m2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9.22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洞口加固                         1.10＃工字钢                       2.植筋螺栓                         3.型材进行防腐处理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砖切体（门口台阶改造）</w:t>
            </w:r>
          </w:p>
          <w:p>
            <w:pPr>
              <w:pStyle w:val="1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砌筑材料：煤矸石烧结砖240*115*53</w:t>
            </w:r>
          </w:p>
          <w:p>
            <w:pPr>
              <w:pStyle w:val="1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砂浆：1:2.5水泥砂浆</w:t>
            </w:r>
          </w:p>
          <w:p>
            <w:pPr>
              <w:pStyle w:val="1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抹灰：2㎝厚1:2水泥砂浆磨平哑光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立方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0.39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安装部分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1.名称:室内总配电箱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1.名称:室内二级配电箱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1.名称：室内电锅配电箱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配电箱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1.名称：空调终端配电箱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2.型号规格:满足用电规范要求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3.安装方式:墙上明装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电力电缆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1.型号、规格:WDZCYJV22 4*70+50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2.敷设方式:穿管敷设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3.备注:含电缆头制安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普通灯具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1.名称:LED平板灯600*600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2.安装方式:吸顶安装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普通灯具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1.名称:LED吸顶灯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2.型号规格：30W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3.安装方式:吸顶安装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普通灯具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1.名称:轨道射灯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2.型号规格：30W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3.安装方式:含轨道安装不单列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配线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1.名称:铜芯线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2.型号:BV6mm2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3.配线部位:管内穿线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29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配线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1.名称:铜芯线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2.型号:BV4 mm2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3.配线部位:管内穿线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配线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1.名称:铜芯线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2.型号:BV2.5 mm2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3.配线部位:管内穿线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插座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1.名称:五孔插座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2.规格:250V/10A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3.安装方式:暗装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照明开关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1.名称:单联单控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2.规格:250V/10A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3.安装方式:暗装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塑料管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1.安装部位:室内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2.介质:自来水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3.材质、规格:(PP-R)管De20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4.连接形式:热熔连接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配管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1.名称:穿线管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2.规格:PVC20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3.配置形式:暗敷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桥架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1.名称:100*100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配管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1.名称:穿线管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2.规格:PVC75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3.配置形式:明配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提升机（暂定价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6000元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pStyle w:val="5"/>
        <w:rPr>
          <w:rFonts w:ascii="仿宋" w:hAnsi="仿宋" w:eastAsia="仿宋" w:cs="仿宋"/>
          <w:sz w:val="32"/>
          <w:szCs w:val="32"/>
        </w:rPr>
      </w:pPr>
    </w:p>
    <w:p>
      <w:pPr>
        <w:pStyle w:val="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jc w:val="center"/>
      </w:pPr>
    </w:p>
    <w:p>
      <w:pPr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>主材明细表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71"/>
        <w:gridCol w:w="1585"/>
        <w:gridCol w:w="1321"/>
        <w:gridCol w:w="1258"/>
        <w:gridCol w:w="1029"/>
        <w:gridCol w:w="1029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序号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主材名称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规格型号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品牌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制造商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单价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174" w:firstLineChars="83"/>
              <w:rPr>
                <w:rFonts w:ascii="仿宋" w:hAnsi="仿宋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rPr>
                <w:rFonts w:ascii="仿宋" w:hAnsi="仿宋"/>
              </w:rPr>
            </w:pPr>
            <w:r>
              <w:rPr>
                <w:rFonts w:ascii="仿宋" w:hAnsi="仿宋"/>
              </w:rPr>
              <w:t>…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" w:hAnsi="仿宋"/>
              </w:rPr>
            </w:pPr>
          </w:p>
        </w:tc>
      </w:tr>
    </w:tbl>
    <w:p>
      <w:pPr>
        <w:pStyle w:val="15"/>
        <w:spacing w:line="360" w:lineRule="auto"/>
        <w:ind w:firstLine="199" w:firstLineChars="83"/>
      </w:pPr>
    </w:p>
    <w:p>
      <w:pPr>
        <w:pStyle w:val="15"/>
        <w:spacing w:line="360" w:lineRule="auto"/>
        <w:ind w:firstLine="199" w:firstLineChars="83"/>
      </w:pPr>
    </w:p>
    <w:p>
      <w:pPr>
        <w:pStyle w:val="2"/>
        <w:spacing w:before="0" w:after="0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hint="eastAsia" w:ascii="仿宋" w:hAnsi="仿宋" w:eastAsiaTheme="minorEastAsia" w:cstheme="minorBidi"/>
          <w:sz w:val="21"/>
        </w:rPr>
        <w:t>供应商</w:t>
      </w:r>
      <w:r>
        <w:rPr>
          <w:rFonts w:ascii="仿宋" w:hAnsi="仿宋" w:eastAsiaTheme="minorEastAsia" w:cstheme="minorBidi"/>
          <w:sz w:val="21"/>
        </w:rPr>
        <w:t>名称（公章）</w:t>
      </w:r>
      <w:r>
        <w:rPr>
          <w:rFonts w:ascii="Times New Roman" w:hAnsi="Times New Roman" w:eastAsia="仿宋" w:cs="Times New Roman"/>
          <w:sz w:val="24"/>
        </w:rPr>
        <w:t>：</w:t>
      </w:r>
    </w:p>
    <w:p>
      <w:pPr>
        <w:ind w:firstLine="384" w:firstLineChars="183"/>
        <w:rPr>
          <w:rFonts w:ascii="仿宋" w:hAnsi="仿宋"/>
          <w:u w:val="single"/>
        </w:rPr>
      </w:pPr>
      <w:r>
        <w:rPr>
          <w:rFonts w:ascii="仿宋" w:hAnsi="仿宋"/>
        </w:rPr>
        <w:t>委托代理人签名：</w:t>
      </w:r>
    </w:p>
    <w:p>
      <w:pPr>
        <w:ind w:firstLine="384" w:firstLineChars="183"/>
        <w:rPr>
          <w:rFonts w:ascii="仿宋" w:hAnsi="仿宋"/>
          <w:u w:val="single"/>
        </w:rPr>
      </w:pPr>
      <w:r>
        <w:rPr>
          <w:rFonts w:ascii="仿宋" w:hAnsi="仿宋"/>
        </w:rPr>
        <w:t>日期：</w:t>
      </w:r>
    </w:p>
    <w:p>
      <w:pPr>
        <w:pStyle w:val="15"/>
        <w:spacing w:line="360" w:lineRule="auto"/>
        <w:ind w:firstLine="199" w:firstLineChars="83"/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br w:type="page"/>
      </w:r>
    </w:p>
    <w:p>
      <w:pPr>
        <w:pStyle w:val="5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附件5：评分标准</w:t>
      </w:r>
    </w:p>
    <w:p>
      <w:pPr>
        <w:pStyle w:val="5"/>
        <w:rPr>
          <w:rFonts w:ascii="仿宋" w:hAnsi="仿宋" w:eastAsia="仿宋" w:cs="仿宋"/>
          <w:b/>
          <w:bCs/>
          <w:sz w:val="36"/>
          <w:szCs w:val="36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总分100分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投标报价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0</w:t>
            </w:r>
            <w:r>
              <w:rPr>
                <w:rFonts w:ascii="Times New Roman" w:hAnsi="Times New Roman" w:eastAsia="仿宋" w:cs="Times New Roman"/>
                <w:sz w:val="24"/>
              </w:rPr>
              <w:t>分</w:t>
            </w:r>
          </w:p>
        </w:tc>
        <w:tc>
          <w:tcPr>
            <w:tcW w:w="4010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以满足磋商文件要求且最后报价最低的供应商的价格为磋商基准价，其价格分为满分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0分，其他供应商的价格分统一按照下列公式计算：磋商报价得分=（磋商基准价/最后磋商报价）×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0%×100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改造</w:t>
            </w:r>
            <w:r>
              <w:rPr>
                <w:rFonts w:ascii="Times New Roman" w:hAnsi="Times New Roman" w:eastAsia="仿宋" w:cs="Times New Roman"/>
                <w:sz w:val="24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0分</w:t>
            </w:r>
          </w:p>
        </w:tc>
        <w:tc>
          <w:tcPr>
            <w:tcW w:w="4010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描述全面合理、切实可行、有针对性，得其满分。每有一处不足或瑕疵扣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分，扣完为止。分项未提供的得0分。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主要材料品牌及保证措施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10分</w:t>
            </w:r>
          </w:p>
        </w:tc>
        <w:tc>
          <w:tcPr>
            <w:tcW w:w="4010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描述全面合理、切实可行、有针对性，得其满分。每有一处不足或瑕疵扣0.5分，扣完为止。分项未提供的得0分。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工期保证措施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安全文明施工保证措施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10分</w:t>
            </w:r>
          </w:p>
        </w:tc>
        <w:tc>
          <w:tcPr>
            <w:tcW w:w="4010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描述全面合理、切实可行、有针对性，得其满分。每有一处不足或瑕疵扣0.5分，扣完为止。分项未提供的得0分。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工程质量保证措施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10分</w:t>
            </w:r>
          </w:p>
        </w:tc>
        <w:tc>
          <w:tcPr>
            <w:tcW w:w="4010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描述全面合理、切实可行、有针对性，得其满分。每有一处不足或瑕疵扣0.5分，扣完为止。分项未提供的得0分。</w:t>
            </w:r>
          </w:p>
        </w:tc>
      </w:tr>
    </w:tbl>
    <w:p>
      <w:pPr>
        <w:pStyle w:val="5"/>
        <w:rPr>
          <w:rFonts w:ascii="仿宋" w:hAnsi="仿宋" w:eastAsia="仿宋" w:cs="仿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50DBB"/>
    <w:multiLevelType w:val="multilevel"/>
    <w:tmpl w:val="4C050D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3ODQ3OTkyZWQ0NzQ5OWQ2OGQyNzBkMDZlMDhmNTIifQ=="/>
  </w:docVars>
  <w:rsids>
    <w:rsidRoot w:val="1D4D0919"/>
    <w:rsid w:val="00055862"/>
    <w:rsid w:val="0008470F"/>
    <w:rsid w:val="000B4F51"/>
    <w:rsid w:val="00112789"/>
    <w:rsid w:val="00206F4A"/>
    <w:rsid w:val="003F2090"/>
    <w:rsid w:val="004319C2"/>
    <w:rsid w:val="00454727"/>
    <w:rsid w:val="004E7809"/>
    <w:rsid w:val="00506AB6"/>
    <w:rsid w:val="005A104F"/>
    <w:rsid w:val="00664BCA"/>
    <w:rsid w:val="0071643E"/>
    <w:rsid w:val="008E3C42"/>
    <w:rsid w:val="00905E7D"/>
    <w:rsid w:val="00926201"/>
    <w:rsid w:val="00932E8C"/>
    <w:rsid w:val="00945124"/>
    <w:rsid w:val="00953D94"/>
    <w:rsid w:val="009E0274"/>
    <w:rsid w:val="00A664AA"/>
    <w:rsid w:val="00B1092B"/>
    <w:rsid w:val="00BC6EA9"/>
    <w:rsid w:val="00D03CF2"/>
    <w:rsid w:val="00D64F8D"/>
    <w:rsid w:val="00D77172"/>
    <w:rsid w:val="00E0500B"/>
    <w:rsid w:val="00E93240"/>
    <w:rsid w:val="00EC3088"/>
    <w:rsid w:val="00F60B61"/>
    <w:rsid w:val="030D1D7A"/>
    <w:rsid w:val="094B5AD1"/>
    <w:rsid w:val="1D4D0919"/>
    <w:rsid w:val="1DED5C90"/>
    <w:rsid w:val="321018C9"/>
    <w:rsid w:val="385361F9"/>
    <w:rsid w:val="40863841"/>
    <w:rsid w:val="498A6B96"/>
    <w:rsid w:val="4A5E5D9E"/>
    <w:rsid w:val="56737FC9"/>
    <w:rsid w:val="65636BE4"/>
    <w:rsid w:val="6CAC3515"/>
    <w:rsid w:val="71CB1B49"/>
    <w:rsid w:val="757C064E"/>
    <w:rsid w:val="79BA202F"/>
    <w:rsid w:val="7DFB5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  <w:rPr>
      <w:rFonts w:eastAsia="Times New Roman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15">
    <w:name w:val="No Spacing"/>
    <w:autoRedefine/>
    <w:qFormat/>
    <w:uiPriority w:val="1"/>
    <w:pPr>
      <w:widowControl w:val="0"/>
      <w:ind w:firstLine="200" w:firstLineChars="200"/>
    </w:pPr>
    <w:rPr>
      <w:rFonts w:ascii="Calibri" w:hAnsi="Calibri" w:eastAsia="仿宋" w:cs="Times New Roman"/>
      <w:kern w:val="2"/>
      <w:sz w:val="24"/>
      <w:lang w:val="en-US" w:eastAsia="zh-CN" w:bidi="ar-SA"/>
    </w:rPr>
  </w:style>
  <w:style w:type="character" w:customStyle="1" w:styleId="16">
    <w:name w:val="页眉 Char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1185</Words>
  <Characters>6756</Characters>
  <Lines>56</Lines>
  <Paragraphs>15</Paragraphs>
  <TotalTime>13</TotalTime>
  <ScaleCrop>false</ScaleCrop>
  <LinksUpToDate>false</LinksUpToDate>
  <CharactersWithSpaces>7926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2024-03-29T02:32:00Z</dcterms:created>
  <dc:creator>依心而行</dc:creator>
  <cp:lastModifiedBy>依心而行</cp:lastModifiedBy>
  <dcterms:modified xsi:type="dcterms:W3CDTF">2024-03-30T15:20:03Z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389FDC682FC048AF873EC725AD263B70_13</vt:lpwstr>
  </property>
</Properties>
</file>